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F1F0" w14:textId="6FB55DB0" w:rsidR="00550E36" w:rsidRDefault="00550E36" w:rsidP="00550E36">
      <w:pPr>
        <w:pStyle w:val="NoSpacing"/>
        <w:rPr>
          <w:rFonts w:ascii="Arial" w:hAnsi="Arial" w:cs="Arial"/>
        </w:rPr>
      </w:pPr>
    </w:p>
    <w:p w14:paraId="419B7E45" w14:textId="64D75DF0" w:rsidR="008773B0" w:rsidRDefault="00275A2A" w:rsidP="00934A3C">
      <w:pPr>
        <w:pStyle w:val="NoSpacing"/>
        <w:rPr>
          <w:rFonts w:ascii="Arial" w:hAnsi="Arial" w:cs="Arial"/>
        </w:rPr>
      </w:pPr>
      <w:r w:rsidRPr="008B4698">
        <w:rPr>
          <w:rFonts w:ascii="Arial" w:hAnsi="Arial" w:cs="Arial"/>
        </w:rPr>
        <w:t xml:space="preserve">Arkansas </w:t>
      </w:r>
      <w:r w:rsidR="000D001F" w:rsidRPr="008B4698">
        <w:rPr>
          <w:rFonts w:ascii="Arial" w:hAnsi="Arial" w:cs="Arial"/>
        </w:rPr>
        <w:t xml:space="preserve">state employees </w:t>
      </w:r>
      <w:r w:rsidR="00184F50">
        <w:rPr>
          <w:rFonts w:ascii="Arial" w:hAnsi="Arial" w:cs="Arial"/>
        </w:rPr>
        <w:t xml:space="preserve">occupying regular positions </w:t>
      </w:r>
      <w:r w:rsidR="0050513B">
        <w:rPr>
          <w:rFonts w:ascii="Arial" w:hAnsi="Arial" w:cs="Arial"/>
        </w:rPr>
        <w:t>within</w:t>
      </w:r>
      <w:r w:rsidR="00E06930" w:rsidRPr="008B4698">
        <w:rPr>
          <w:rFonts w:ascii="Arial" w:hAnsi="Arial" w:cs="Arial"/>
        </w:rPr>
        <w:t xml:space="preserve"> the</w:t>
      </w:r>
      <w:r w:rsidR="000D001F" w:rsidRPr="008B4698">
        <w:rPr>
          <w:rFonts w:ascii="Arial" w:hAnsi="Arial" w:cs="Arial"/>
        </w:rPr>
        <w:t xml:space="preserve"> executive branch are </w:t>
      </w:r>
      <w:r w:rsidR="008619F2" w:rsidRPr="008B4698">
        <w:rPr>
          <w:rFonts w:ascii="Arial" w:hAnsi="Arial" w:cs="Arial"/>
        </w:rPr>
        <w:t xml:space="preserve">required to be </w:t>
      </w:r>
      <w:r w:rsidR="007D2004" w:rsidRPr="008B4698">
        <w:rPr>
          <w:rFonts w:ascii="Arial" w:hAnsi="Arial" w:cs="Arial"/>
        </w:rPr>
        <w:t xml:space="preserve">formally evaluated </w:t>
      </w:r>
      <w:r w:rsidR="00E06930" w:rsidRPr="008B4698">
        <w:rPr>
          <w:rFonts w:ascii="Arial" w:hAnsi="Arial" w:cs="Arial"/>
        </w:rPr>
        <w:t xml:space="preserve">once </w:t>
      </w:r>
      <w:r w:rsidR="007D2004" w:rsidRPr="008B4698">
        <w:rPr>
          <w:rFonts w:ascii="Arial" w:hAnsi="Arial" w:cs="Arial"/>
        </w:rPr>
        <w:t>each year</w:t>
      </w:r>
      <w:r w:rsidR="00C93A69" w:rsidRPr="008B4698">
        <w:rPr>
          <w:rFonts w:ascii="Arial" w:hAnsi="Arial" w:cs="Arial"/>
        </w:rPr>
        <w:t xml:space="preserve">. </w:t>
      </w:r>
      <w:r w:rsidR="007A166B">
        <w:rPr>
          <w:rFonts w:ascii="Arial" w:hAnsi="Arial" w:cs="Arial"/>
        </w:rPr>
        <w:t xml:space="preserve">This does not include extra help positions. </w:t>
      </w:r>
      <w:r w:rsidRPr="008B4698">
        <w:rPr>
          <w:rFonts w:ascii="Arial" w:hAnsi="Arial" w:cs="Arial"/>
        </w:rPr>
        <w:t>The purpose of the formal p</w:t>
      </w:r>
      <w:r w:rsidR="008619F2" w:rsidRPr="008B4698">
        <w:rPr>
          <w:rFonts w:ascii="Arial" w:hAnsi="Arial" w:cs="Arial"/>
        </w:rPr>
        <w:t>erformance evaluation</w:t>
      </w:r>
      <w:r w:rsidRPr="008B4698">
        <w:rPr>
          <w:rFonts w:ascii="Arial" w:hAnsi="Arial" w:cs="Arial"/>
        </w:rPr>
        <w:t xml:space="preserve"> </w:t>
      </w:r>
      <w:r w:rsidR="0003511C" w:rsidRPr="008B4698">
        <w:rPr>
          <w:rFonts w:ascii="Arial" w:hAnsi="Arial" w:cs="Arial"/>
        </w:rPr>
        <w:t xml:space="preserve">process </w:t>
      </w:r>
      <w:r w:rsidRPr="008B4698">
        <w:rPr>
          <w:rFonts w:ascii="Arial" w:hAnsi="Arial" w:cs="Arial"/>
        </w:rPr>
        <w:t>is to</w:t>
      </w:r>
      <w:r w:rsidR="008619F2" w:rsidRPr="008B4698">
        <w:rPr>
          <w:rFonts w:ascii="Arial" w:hAnsi="Arial" w:cs="Arial"/>
        </w:rPr>
        <w:t xml:space="preserve"> </w:t>
      </w:r>
      <w:r w:rsidR="001B07CB" w:rsidRPr="008B4698">
        <w:rPr>
          <w:rFonts w:ascii="Arial" w:hAnsi="Arial" w:cs="Arial"/>
        </w:rPr>
        <w:t>allow</w:t>
      </w:r>
      <w:r w:rsidR="008619F2" w:rsidRPr="008B4698">
        <w:rPr>
          <w:rFonts w:ascii="Arial" w:hAnsi="Arial" w:cs="Arial"/>
        </w:rPr>
        <w:t xml:space="preserve"> </w:t>
      </w:r>
      <w:r w:rsidR="00D85E42">
        <w:rPr>
          <w:rFonts w:ascii="Arial" w:hAnsi="Arial" w:cs="Arial"/>
        </w:rPr>
        <w:t>evaluating</w:t>
      </w:r>
      <w:r w:rsidR="00B92768">
        <w:rPr>
          <w:rFonts w:ascii="Arial" w:hAnsi="Arial" w:cs="Arial"/>
        </w:rPr>
        <w:t xml:space="preserve"> </w:t>
      </w:r>
      <w:r w:rsidR="008619F2" w:rsidRPr="008B4698">
        <w:rPr>
          <w:rFonts w:ascii="Arial" w:hAnsi="Arial" w:cs="Arial"/>
        </w:rPr>
        <w:t xml:space="preserve">managers </w:t>
      </w:r>
      <w:r w:rsidR="001B07CB" w:rsidRPr="008B4698">
        <w:rPr>
          <w:rFonts w:ascii="Arial" w:hAnsi="Arial" w:cs="Arial"/>
        </w:rPr>
        <w:t xml:space="preserve">to </w:t>
      </w:r>
      <w:r w:rsidR="008619F2" w:rsidRPr="008B4698">
        <w:rPr>
          <w:rFonts w:ascii="Arial" w:hAnsi="Arial" w:cs="Arial"/>
        </w:rPr>
        <w:t xml:space="preserve">establish </w:t>
      </w:r>
      <w:r w:rsidRPr="008B4698">
        <w:rPr>
          <w:rFonts w:ascii="Arial" w:hAnsi="Arial" w:cs="Arial"/>
        </w:rPr>
        <w:t xml:space="preserve">job performance </w:t>
      </w:r>
      <w:r w:rsidR="008619F2" w:rsidRPr="008B4698">
        <w:rPr>
          <w:rFonts w:ascii="Arial" w:hAnsi="Arial" w:cs="Arial"/>
        </w:rPr>
        <w:t>expectations</w:t>
      </w:r>
      <w:r w:rsidR="00B92768">
        <w:rPr>
          <w:rFonts w:ascii="Arial" w:hAnsi="Arial" w:cs="Arial"/>
        </w:rPr>
        <w:t>,</w:t>
      </w:r>
      <w:r w:rsidR="001B07CB" w:rsidRPr="008B4698">
        <w:rPr>
          <w:rFonts w:ascii="Arial" w:hAnsi="Arial" w:cs="Arial"/>
        </w:rPr>
        <w:t xml:space="preserve"> communicate those </w:t>
      </w:r>
      <w:r w:rsidR="00B92768">
        <w:rPr>
          <w:rFonts w:ascii="Arial" w:hAnsi="Arial" w:cs="Arial"/>
        </w:rPr>
        <w:t xml:space="preserve">expectations </w:t>
      </w:r>
      <w:r w:rsidR="001B07CB" w:rsidRPr="008B4698">
        <w:rPr>
          <w:rFonts w:ascii="Arial" w:hAnsi="Arial" w:cs="Arial"/>
        </w:rPr>
        <w:t>to the</w:t>
      </w:r>
      <w:r w:rsidR="00B92768">
        <w:rPr>
          <w:rFonts w:ascii="Arial" w:hAnsi="Arial" w:cs="Arial"/>
        </w:rPr>
        <w:t>ir</w:t>
      </w:r>
      <w:r w:rsidR="001B07CB" w:rsidRPr="008B4698">
        <w:rPr>
          <w:rFonts w:ascii="Arial" w:hAnsi="Arial" w:cs="Arial"/>
        </w:rPr>
        <w:t xml:space="preserve"> employee</w:t>
      </w:r>
      <w:r w:rsidR="00B92768">
        <w:rPr>
          <w:rFonts w:ascii="Arial" w:hAnsi="Arial" w:cs="Arial"/>
        </w:rPr>
        <w:t>s</w:t>
      </w:r>
      <w:r w:rsidR="008619F2" w:rsidRPr="008B4698">
        <w:rPr>
          <w:rFonts w:ascii="Arial" w:hAnsi="Arial" w:cs="Arial"/>
        </w:rPr>
        <w:t xml:space="preserve">, ensure </w:t>
      </w:r>
      <w:r w:rsidR="00B92768">
        <w:rPr>
          <w:rFonts w:ascii="Arial" w:hAnsi="Arial" w:cs="Arial"/>
        </w:rPr>
        <w:t xml:space="preserve">their </w:t>
      </w:r>
      <w:r w:rsidRPr="008B4698">
        <w:rPr>
          <w:rFonts w:ascii="Arial" w:hAnsi="Arial" w:cs="Arial"/>
        </w:rPr>
        <w:t>employees are held accountable</w:t>
      </w:r>
      <w:r w:rsidR="008619F2" w:rsidRPr="008B4698">
        <w:rPr>
          <w:rFonts w:ascii="Arial" w:hAnsi="Arial" w:cs="Arial"/>
        </w:rPr>
        <w:t xml:space="preserve">, </w:t>
      </w:r>
      <w:r w:rsidRPr="008B4698">
        <w:rPr>
          <w:rFonts w:ascii="Arial" w:hAnsi="Arial" w:cs="Arial"/>
        </w:rPr>
        <w:t xml:space="preserve">recognize outstanding performance, </w:t>
      </w:r>
      <w:r w:rsidR="001B07CB" w:rsidRPr="008B4698">
        <w:rPr>
          <w:rFonts w:ascii="Arial" w:hAnsi="Arial" w:cs="Arial"/>
        </w:rPr>
        <w:t xml:space="preserve">notify </w:t>
      </w:r>
      <w:r w:rsidR="008619F2" w:rsidRPr="008B4698">
        <w:rPr>
          <w:rFonts w:ascii="Arial" w:hAnsi="Arial" w:cs="Arial"/>
        </w:rPr>
        <w:t xml:space="preserve">employees </w:t>
      </w:r>
      <w:r w:rsidR="0003511C" w:rsidRPr="008B4698">
        <w:rPr>
          <w:rFonts w:ascii="Arial" w:hAnsi="Arial" w:cs="Arial"/>
        </w:rPr>
        <w:t xml:space="preserve">of areas </w:t>
      </w:r>
      <w:r w:rsidR="001B07CB" w:rsidRPr="008B4698">
        <w:rPr>
          <w:rFonts w:ascii="Arial" w:hAnsi="Arial" w:cs="Arial"/>
        </w:rPr>
        <w:t>that need</w:t>
      </w:r>
      <w:r w:rsidR="0003511C" w:rsidRPr="008B4698">
        <w:rPr>
          <w:rFonts w:ascii="Arial" w:hAnsi="Arial" w:cs="Arial"/>
        </w:rPr>
        <w:t xml:space="preserve"> improvement, </w:t>
      </w:r>
      <w:r w:rsidR="008619F2" w:rsidRPr="008B4698">
        <w:rPr>
          <w:rFonts w:ascii="Arial" w:hAnsi="Arial" w:cs="Arial"/>
        </w:rPr>
        <w:t>and reinforce ethical behavior.</w:t>
      </w:r>
      <w:r w:rsidR="001B07CB" w:rsidRPr="008B4698">
        <w:rPr>
          <w:rFonts w:ascii="Arial" w:hAnsi="Arial" w:cs="Arial"/>
        </w:rPr>
        <w:t xml:space="preserve"> The evaluating manager is to provide accurate and actionable feedback that helps an employee develop his or </w:t>
      </w:r>
      <w:r w:rsidR="00006473">
        <w:rPr>
          <w:rFonts w:ascii="Arial" w:hAnsi="Arial" w:cs="Arial"/>
        </w:rPr>
        <w:t>her behavior</w:t>
      </w:r>
      <w:r w:rsidR="001B07CB" w:rsidRPr="008B4698">
        <w:rPr>
          <w:rFonts w:ascii="Arial" w:hAnsi="Arial" w:cs="Arial"/>
        </w:rPr>
        <w:t>.</w:t>
      </w:r>
      <w:r w:rsidR="00FD6093" w:rsidRPr="008B4698">
        <w:rPr>
          <w:rFonts w:ascii="Arial" w:hAnsi="Arial" w:cs="Arial"/>
        </w:rPr>
        <w:t xml:space="preserve"> Evaluating managers </w:t>
      </w:r>
      <w:r w:rsidR="0043612C">
        <w:rPr>
          <w:rFonts w:ascii="Arial" w:hAnsi="Arial" w:cs="Arial"/>
        </w:rPr>
        <w:t>are expected to</w:t>
      </w:r>
      <w:r w:rsidR="0043612C" w:rsidRPr="008B4698">
        <w:rPr>
          <w:rFonts w:ascii="Arial" w:hAnsi="Arial" w:cs="Arial"/>
        </w:rPr>
        <w:t xml:space="preserve"> </w:t>
      </w:r>
      <w:r w:rsidR="00FD6093" w:rsidRPr="008B4698">
        <w:rPr>
          <w:rFonts w:ascii="Arial" w:hAnsi="Arial" w:cs="Arial"/>
        </w:rPr>
        <w:t>meet with their employees throughout the year to</w:t>
      </w:r>
      <w:r w:rsidR="0043612C">
        <w:rPr>
          <w:rFonts w:ascii="Arial" w:hAnsi="Arial" w:cs="Arial"/>
        </w:rPr>
        <w:t xml:space="preserve"> timely</w:t>
      </w:r>
      <w:r w:rsidR="00FD6093" w:rsidRPr="008B4698">
        <w:rPr>
          <w:rFonts w:ascii="Arial" w:hAnsi="Arial" w:cs="Arial"/>
        </w:rPr>
        <w:t xml:space="preserve"> address any performance concerns </w:t>
      </w:r>
      <w:r w:rsidR="0043612C">
        <w:rPr>
          <w:rFonts w:ascii="Arial" w:hAnsi="Arial" w:cs="Arial"/>
        </w:rPr>
        <w:t>and</w:t>
      </w:r>
      <w:r w:rsidR="0043612C" w:rsidRPr="008B4698">
        <w:rPr>
          <w:rFonts w:ascii="Arial" w:hAnsi="Arial" w:cs="Arial"/>
        </w:rPr>
        <w:t xml:space="preserve"> </w:t>
      </w:r>
      <w:r w:rsidR="00FD6093" w:rsidRPr="008B4698">
        <w:rPr>
          <w:rFonts w:ascii="Arial" w:hAnsi="Arial" w:cs="Arial"/>
        </w:rPr>
        <w:t>provide encouragement for good performance.</w:t>
      </w:r>
      <w:r w:rsidR="00210A05">
        <w:rPr>
          <w:rFonts w:ascii="Arial" w:hAnsi="Arial" w:cs="Arial"/>
        </w:rPr>
        <w:t xml:space="preserve"> </w:t>
      </w:r>
    </w:p>
    <w:p w14:paraId="7DE233DF" w14:textId="77777777" w:rsidR="008619F2" w:rsidRPr="008B4698" w:rsidRDefault="008619F2" w:rsidP="00934A3C">
      <w:pPr>
        <w:pStyle w:val="NoSpacing"/>
        <w:rPr>
          <w:rFonts w:ascii="Arial" w:hAnsi="Arial" w:cs="Arial"/>
        </w:rPr>
      </w:pPr>
    </w:p>
    <w:p w14:paraId="4A3CCF0A" w14:textId="2C8E0DC5" w:rsidR="00934A3C" w:rsidRPr="008B4698" w:rsidRDefault="00934A3C" w:rsidP="00934A3C">
      <w:pPr>
        <w:pStyle w:val="NoSpacing"/>
        <w:rPr>
          <w:rFonts w:ascii="Arial" w:hAnsi="Arial" w:cs="Arial"/>
        </w:rPr>
      </w:pPr>
      <w:r w:rsidRPr="008B4698">
        <w:rPr>
          <w:rFonts w:ascii="Arial" w:hAnsi="Arial" w:cs="Arial"/>
        </w:rPr>
        <w:t>The Office of Personnel Management (OPM)</w:t>
      </w:r>
      <w:r w:rsidR="008619F2" w:rsidRPr="008B4698">
        <w:rPr>
          <w:rFonts w:ascii="Arial" w:hAnsi="Arial" w:cs="Arial"/>
        </w:rPr>
        <w:t xml:space="preserve"> is </w:t>
      </w:r>
      <w:r w:rsidR="000D001F" w:rsidRPr="008B4698">
        <w:rPr>
          <w:rFonts w:ascii="Arial" w:hAnsi="Arial" w:cs="Arial"/>
        </w:rPr>
        <w:t>responsible for managing</w:t>
      </w:r>
      <w:r w:rsidRPr="008B4698">
        <w:rPr>
          <w:rFonts w:ascii="Arial" w:hAnsi="Arial" w:cs="Arial"/>
        </w:rPr>
        <w:t xml:space="preserve"> </w:t>
      </w:r>
      <w:r w:rsidR="000D001F" w:rsidRPr="008B4698">
        <w:rPr>
          <w:rFonts w:ascii="Arial" w:hAnsi="Arial" w:cs="Arial"/>
        </w:rPr>
        <w:t>the</w:t>
      </w:r>
      <w:r w:rsidRPr="008B4698">
        <w:rPr>
          <w:rFonts w:ascii="Arial" w:hAnsi="Arial" w:cs="Arial"/>
        </w:rPr>
        <w:t xml:space="preserve"> </w:t>
      </w:r>
      <w:r w:rsidR="0008330E">
        <w:rPr>
          <w:rFonts w:ascii="Arial" w:hAnsi="Arial" w:cs="Arial"/>
        </w:rPr>
        <w:t xml:space="preserve">performance evaluation </w:t>
      </w:r>
      <w:r w:rsidR="008619F2" w:rsidRPr="008B4698">
        <w:rPr>
          <w:rFonts w:ascii="Arial" w:hAnsi="Arial" w:cs="Arial"/>
        </w:rPr>
        <w:t>system</w:t>
      </w:r>
      <w:r w:rsidRPr="008B4698">
        <w:rPr>
          <w:rFonts w:ascii="Arial" w:hAnsi="Arial" w:cs="Arial"/>
        </w:rPr>
        <w:t xml:space="preserve"> and</w:t>
      </w:r>
      <w:r w:rsidR="008619F2" w:rsidRPr="008B4698">
        <w:rPr>
          <w:rFonts w:ascii="Arial" w:hAnsi="Arial" w:cs="Arial"/>
        </w:rPr>
        <w:t xml:space="preserve"> implementing</w:t>
      </w:r>
      <w:r w:rsidR="00A81FC5" w:rsidRPr="008B4698">
        <w:rPr>
          <w:rFonts w:ascii="Arial" w:hAnsi="Arial" w:cs="Arial"/>
        </w:rPr>
        <w:t xml:space="preserve"> </w:t>
      </w:r>
      <w:r w:rsidRPr="008B4698">
        <w:rPr>
          <w:rFonts w:ascii="Arial" w:hAnsi="Arial" w:cs="Arial"/>
        </w:rPr>
        <w:t xml:space="preserve">performance </w:t>
      </w:r>
      <w:r w:rsidR="006C28EA" w:rsidRPr="008B4698">
        <w:rPr>
          <w:rFonts w:ascii="Arial" w:hAnsi="Arial" w:cs="Arial"/>
        </w:rPr>
        <w:t>compensation</w:t>
      </w:r>
      <w:r w:rsidRPr="008B4698">
        <w:rPr>
          <w:rFonts w:ascii="Arial" w:hAnsi="Arial" w:cs="Arial"/>
        </w:rPr>
        <w:t xml:space="preserve"> </w:t>
      </w:r>
      <w:r w:rsidR="006C28EA" w:rsidRPr="008B4698">
        <w:rPr>
          <w:rFonts w:ascii="Arial" w:hAnsi="Arial" w:cs="Arial"/>
        </w:rPr>
        <w:t>for</w:t>
      </w:r>
      <w:r w:rsidRPr="008B4698">
        <w:rPr>
          <w:rFonts w:ascii="Arial" w:hAnsi="Arial" w:cs="Arial"/>
        </w:rPr>
        <w:t xml:space="preserve"> </w:t>
      </w:r>
      <w:r w:rsidR="008619F2" w:rsidRPr="008B4698">
        <w:rPr>
          <w:rFonts w:ascii="Arial" w:hAnsi="Arial" w:cs="Arial"/>
        </w:rPr>
        <w:t xml:space="preserve">eligible </w:t>
      </w:r>
      <w:r w:rsidRPr="008B4698">
        <w:rPr>
          <w:rFonts w:ascii="Arial" w:hAnsi="Arial" w:cs="Arial"/>
        </w:rPr>
        <w:t>employees. The performance system</w:t>
      </w:r>
      <w:r w:rsidR="0008330E">
        <w:rPr>
          <w:rFonts w:ascii="Arial" w:hAnsi="Arial" w:cs="Arial"/>
        </w:rPr>
        <w:t xml:space="preserve"> (</w:t>
      </w:r>
      <w:r w:rsidR="00E856E9" w:rsidRPr="008B4698">
        <w:rPr>
          <w:rFonts w:ascii="Arial" w:hAnsi="Arial" w:cs="Arial"/>
        </w:rPr>
        <w:t>MyARPerformance</w:t>
      </w:r>
      <w:r w:rsidR="0008330E">
        <w:rPr>
          <w:rFonts w:ascii="Arial" w:hAnsi="Arial" w:cs="Arial"/>
        </w:rPr>
        <w:t>)</w:t>
      </w:r>
      <w:r w:rsidRPr="008B4698">
        <w:rPr>
          <w:rFonts w:ascii="Arial" w:hAnsi="Arial" w:cs="Arial"/>
        </w:rPr>
        <w:t xml:space="preserve"> is an electronic system accessed through the </w:t>
      </w:r>
      <w:hyperlink r:id="rId7" w:history="1">
        <w:r w:rsidRPr="008B4698">
          <w:rPr>
            <w:rStyle w:val="Hyperlink"/>
            <w:rFonts w:ascii="Arial" w:hAnsi="Arial" w:cs="Arial"/>
          </w:rPr>
          <w:t>Empowering Arkansas State Employees (EASE) application</w:t>
        </w:r>
      </w:hyperlink>
      <w:r w:rsidRPr="008B4698">
        <w:rPr>
          <w:rFonts w:ascii="Arial" w:hAnsi="Arial" w:cs="Arial"/>
        </w:rPr>
        <w:t xml:space="preserve">. </w:t>
      </w:r>
    </w:p>
    <w:p w14:paraId="19DF814F" w14:textId="77777777" w:rsidR="00934A3C" w:rsidRPr="008B4698" w:rsidRDefault="00934A3C" w:rsidP="00934A3C">
      <w:pPr>
        <w:pStyle w:val="NoSpacing"/>
        <w:rPr>
          <w:rFonts w:ascii="Arial" w:hAnsi="Arial" w:cs="Arial"/>
        </w:rPr>
      </w:pPr>
    </w:p>
    <w:p w14:paraId="792C14F8" w14:textId="5C247A53" w:rsidR="00B53048" w:rsidRPr="008B4698" w:rsidRDefault="00B53048" w:rsidP="00B53048">
      <w:pPr>
        <w:pStyle w:val="NoSpacing"/>
        <w:rPr>
          <w:rFonts w:ascii="Arial" w:hAnsi="Arial" w:cs="Arial"/>
        </w:rPr>
      </w:pPr>
      <w:r w:rsidRPr="008B4698">
        <w:rPr>
          <w:rFonts w:ascii="Arial" w:hAnsi="Arial" w:cs="Arial"/>
        </w:rPr>
        <w:t>There are</w:t>
      </w:r>
      <w:r w:rsidR="001B07CB" w:rsidRPr="008B4698">
        <w:rPr>
          <w:rFonts w:ascii="Arial" w:hAnsi="Arial" w:cs="Arial"/>
        </w:rPr>
        <w:t xml:space="preserve"> </w:t>
      </w:r>
      <w:r w:rsidR="0008330E">
        <w:rPr>
          <w:rFonts w:ascii="Arial" w:hAnsi="Arial" w:cs="Arial"/>
        </w:rPr>
        <w:t xml:space="preserve">seven </w:t>
      </w:r>
      <w:r w:rsidR="001B07CB" w:rsidRPr="008B4698">
        <w:rPr>
          <w:rFonts w:ascii="Arial" w:hAnsi="Arial" w:cs="Arial"/>
        </w:rPr>
        <w:t xml:space="preserve">(7) </w:t>
      </w:r>
      <w:hyperlink r:id="rId8" w:history="1">
        <w:r w:rsidR="00934A3C" w:rsidRPr="008926A6">
          <w:rPr>
            <w:rStyle w:val="Hyperlink"/>
            <w:rFonts w:ascii="Arial" w:hAnsi="Arial" w:cs="Arial"/>
          </w:rPr>
          <w:t>performance standards</w:t>
        </w:r>
      </w:hyperlink>
      <w:r w:rsidRPr="008B4698">
        <w:rPr>
          <w:rFonts w:ascii="Arial" w:hAnsi="Arial" w:cs="Arial"/>
        </w:rPr>
        <w:t>:</w:t>
      </w:r>
    </w:p>
    <w:p w14:paraId="39176C14" w14:textId="3F6AA441" w:rsidR="001B07CB" w:rsidRPr="008B4698" w:rsidRDefault="001B07CB" w:rsidP="00B53048">
      <w:pPr>
        <w:pStyle w:val="NoSpacing"/>
        <w:numPr>
          <w:ilvl w:val="0"/>
          <w:numId w:val="13"/>
        </w:numPr>
        <w:rPr>
          <w:rFonts w:ascii="Arial" w:hAnsi="Arial" w:cs="Arial"/>
        </w:rPr>
      </w:pPr>
      <w:r w:rsidRPr="008B4698">
        <w:rPr>
          <w:rFonts w:ascii="Arial" w:hAnsi="Arial" w:cs="Arial"/>
        </w:rPr>
        <w:t>Customer Service (Internal and External)</w:t>
      </w:r>
    </w:p>
    <w:p w14:paraId="3FC9B092" w14:textId="696FF349" w:rsidR="001B07CB" w:rsidRPr="008B4698" w:rsidRDefault="00B53048" w:rsidP="00B53048">
      <w:pPr>
        <w:pStyle w:val="NoSpacing"/>
        <w:numPr>
          <w:ilvl w:val="0"/>
          <w:numId w:val="13"/>
        </w:numPr>
        <w:rPr>
          <w:rFonts w:ascii="Arial" w:hAnsi="Arial" w:cs="Arial"/>
        </w:rPr>
      </w:pPr>
      <w:r w:rsidRPr="008B4698">
        <w:rPr>
          <w:rFonts w:ascii="Arial" w:hAnsi="Arial" w:cs="Arial"/>
        </w:rPr>
        <w:t xml:space="preserve">Communication </w:t>
      </w:r>
    </w:p>
    <w:p w14:paraId="398BAB20" w14:textId="17ED1768" w:rsidR="00B53048" w:rsidRPr="008B4698" w:rsidRDefault="00B53048" w:rsidP="00B53048">
      <w:pPr>
        <w:pStyle w:val="NoSpacing"/>
        <w:numPr>
          <w:ilvl w:val="0"/>
          <w:numId w:val="13"/>
        </w:numPr>
        <w:rPr>
          <w:rFonts w:ascii="Arial" w:hAnsi="Arial" w:cs="Arial"/>
        </w:rPr>
      </w:pPr>
      <w:r w:rsidRPr="008B4698">
        <w:rPr>
          <w:rFonts w:ascii="Arial" w:hAnsi="Arial" w:cs="Arial"/>
        </w:rPr>
        <w:t>Accountability</w:t>
      </w:r>
    </w:p>
    <w:p w14:paraId="26F5BFE1" w14:textId="74E6F7DB" w:rsidR="00B53048" w:rsidRPr="008B4698" w:rsidRDefault="00B53048" w:rsidP="00B53048">
      <w:pPr>
        <w:pStyle w:val="NoSpacing"/>
        <w:numPr>
          <w:ilvl w:val="0"/>
          <w:numId w:val="13"/>
        </w:numPr>
        <w:rPr>
          <w:rFonts w:ascii="Arial" w:hAnsi="Arial" w:cs="Arial"/>
        </w:rPr>
      </w:pPr>
      <w:r w:rsidRPr="008B4698">
        <w:rPr>
          <w:rFonts w:ascii="Arial" w:hAnsi="Arial" w:cs="Arial"/>
        </w:rPr>
        <w:t>Professionalism</w:t>
      </w:r>
    </w:p>
    <w:p w14:paraId="3E0FEA65" w14:textId="274D88E7" w:rsidR="00B53048" w:rsidRPr="008B4698" w:rsidRDefault="00B53048" w:rsidP="00B53048">
      <w:pPr>
        <w:pStyle w:val="NoSpacing"/>
        <w:numPr>
          <w:ilvl w:val="0"/>
          <w:numId w:val="13"/>
        </w:numPr>
        <w:rPr>
          <w:rFonts w:ascii="Arial" w:hAnsi="Arial" w:cs="Arial"/>
        </w:rPr>
      </w:pPr>
      <w:r w:rsidRPr="008B4698">
        <w:rPr>
          <w:rFonts w:ascii="Arial" w:hAnsi="Arial" w:cs="Arial"/>
        </w:rPr>
        <w:t xml:space="preserve">Initiative </w:t>
      </w:r>
    </w:p>
    <w:p w14:paraId="174E932E" w14:textId="736F254E" w:rsidR="00B53048" w:rsidRPr="008B4698" w:rsidRDefault="00B53048" w:rsidP="00B53048">
      <w:pPr>
        <w:pStyle w:val="NoSpacing"/>
        <w:numPr>
          <w:ilvl w:val="0"/>
          <w:numId w:val="13"/>
        </w:numPr>
        <w:rPr>
          <w:rFonts w:ascii="Arial" w:hAnsi="Arial" w:cs="Arial"/>
        </w:rPr>
      </w:pPr>
      <w:r w:rsidRPr="008B4698">
        <w:rPr>
          <w:rFonts w:ascii="Arial" w:hAnsi="Arial" w:cs="Arial"/>
        </w:rPr>
        <w:t>Job Knowledge, Skills, and Work Product</w:t>
      </w:r>
    </w:p>
    <w:p w14:paraId="669B163A" w14:textId="1F2A28A7" w:rsidR="00B53048" w:rsidRPr="008B4698" w:rsidRDefault="00B53048" w:rsidP="00B53048">
      <w:pPr>
        <w:pStyle w:val="NoSpacing"/>
        <w:numPr>
          <w:ilvl w:val="0"/>
          <w:numId w:val="13"/>
        </w:numPr>
        <w:rPr>
          <w:rFonts w:ascii="Arial" w:hAnsi="Arial" w:cs="Arial"/>
        </w:rPr>
      </w:pPr>
      <w:r w:rsidRPr="008B4698">
        <w:rPr>
          <w:rFonts w:ascii="Arial" w:hAnsi="Arial" w:cs="Arial"/>
        </w:rPr>
        <w:t>Supervisory/Leadership</w:t>
      </w:r>
    </w:p>
    <w:p w14:paraId="798ABC9C" w14:textId="77777777" w:rsidR="001B07CB" w:rsidRPr="008B4698" w:rsidRDefault="001B07CB" w:rsidP="00934A3C">
      <w:pPr>
        <w:pStyle w:val="NoSpacing"/>
        <w:rPr>
          <w:rFonts w:ascii="Arial" w:hAnsi="Arial" w:cs="Arial"/>
        </w:rPr>
      </w:pPr>
    </w:p>
    <w:p w14:paraId="0DA6340C" w14:textId="695B30C7" w:rsidR="0084363B" w:rsidRPr="008B4698" w:rsidRDefault="0084363B" w:rsidP="00934A3C">
      <w:pPr>
        <w:pStyle w:val="NoSpacing"/>
        <w:rPr>
          <w:rFonts w:ascii="Arial" w:hAnsi="Arial" w:cs="Arial"/>
        </w:rPr>
      </w:pPr>
      <w:r w:rsidRPr="008B4698">
        <w:rPr>
          <w:rFonts w:ascii="Arial" w:hAnsi="Arial" w:cs="Arial"/>
        </w:rPr>
        <w:t xml:space="preserve">The </w:t>
      </w:r>
      <w:r w:rsidR="009C3D28">
        <w:rPr>
          <w:rFonts w:ascii="Arial" w:hAnsi="Arial" w:cs="Arial"/>
        </w:rPr>
        <w:t xml:space="preserve">OPM-developed </w:t>
      </w:r>
      <w:r w:rsidRPr="008B4698">
        <w:rPr>
          <w:rFonts w:ascii="Arial" w:hAnsi="Arial" w:cs="Arial"/>
        </w:rPr>
        <w:t xml:space="preserve">performance standards include the typical functions that are expected within that standard. </w:t>
      </w:r>
      <w:r w:rsidR="00BB3A1A" w:rsidRPr="008B4698">
        <w:rPr>
          <w:rFonts w:ascii="Arial" w:hAnsi="Arial" w:cs="Arial"/>
        </w:rPr>
        <w:t>Each</w:t>
      </w:r>
      <w:r w:rsidR="00CF10AB" w:rsidRPr="008B4698">
        <w:rPr>
          <w:rFonts w:ascii="Arial" w:hAnsi="Arial" w:cs="Arial"/>
        </w:rPr>
        <w:t xml:space="preserve"> department </w:t>
      </w:r>
      <w:r w:rsidRPr="008B4698">
        <w:rPr>
          <w:rFonts w:ascii="Arial" w:hAnsi="Arial" w:cs="Arial"/>
        </w:rPr>
        <w:t>will determine the standards that are job-</w:t>
      </w:r>
      <w:r w:rsidRPr="00D85E42">
        <w:rPr>
          <w:rFonts w:ascii="Arial" w:hAnsi="Arial" w:cs="Arial"/>
        </w:rPr>
        <w:t>related for each position and will</w:t>
      </w:r>
      <w:r w:rsidR="00934A3C" w:rsidRPr="00D85E42">
        <w:rPr>
          <w:rFonts w:ascii="Arial" w:hAnsi="Arial" w:cs="Arial"/>
        </w:rPr>
        <w:t xml:space="preserve"> select the</w:t>
      </w:r>
      <w:r w:rsidR="00B53048" w:rsidRPr="00D85E42">
        <w:rPr>
          <w:rFonts w:ascii="Arial" w:hAnsi="Arial" w:cs="Arial"/>
        </w:rPr>
        <w:t xml:space="preserve"> </w:t>
      </w:r>
      <w:r w:rsidR="00E856E9" w:rsidRPr="00D85E42">
        <w:rPr>
          <w:rFonts w:ascii="Arial" w:hAnsi="Arial" w:cs="Arial"/>
        </w:rPr>
        <w:t>standards</w:t>
      </w:r>
      <w:r w:rsidR="00934A3C" w:rsidRPr="00D85E42">
        <w:rPr>
          <w:rFonts w:ascii="Arial" w:hAnsi="Arial" w:cs="Arial"/>
        </w:rPr>
        <w:t xml:space="preserve"> </w:t>
      </w:r>
      <w:r w:rsidR="00E856E9" w:rsidRPr="00D85E42">
        <w:rPr>
          <w:rFonts w:ascii="Arial" w:hAnsi="Arial" w:cs="Arial"/>
        </w:rPr>
        <w:t xml:space="preserve">that each employee is evaluated and rated against. </w:t>
      </w:r>
      <w:r w:rsidR="0050513B">
        <w:rPr>
          <w:rFonts w:ascii="Arial" w:hAnsi="Arial" w:cs="Arial"/>
        </w:rPr>
        <w:t>Each</w:t>
      </w:r>
      <w:r w:rsidR="0043612C" w:rsidRPr="00D85E42">
        <w:rPr>
          <w:rFonts w:ascii="Arial" w:hAnsi="Arial" w:cs="Arial"/>
        </w:rPr>
        <w:t xml:space="preserve"> department</w:t>
      </w:r>
      <w:r w:rsidR="0035143F" w:rsidRPr="00D85E42">
        <w:rPr>
          <w:rFonts w:ascii="Arial" w:hAnsi="Arial" w:cs="Arial"/>
        </w:rPr>
        <w:t xml:space="preserve"> </w:t>
      </w:r>
      <w:r w:rsidR="00A81FC5" w:rsidRPr="00D85E42">
        <w:rPr>
          <w:rFonts w:ascii="Arial" w:hAnsi="Arial" w:cs="Arial"/>
        </w:rPr>
        <w:t xml:space="preserve">may </w:t>
      </w:r>
      <w:r w:rsidR="00B53048" w:rsidRPr="00D85E42">
        <w:rPr>
          <w:rFonts w:ascii="Arial" w:hAnsi="Arial" w:cs="Arial"/>
        </w:rPr>
        <w:t xml:space="preserve">choose to establish additional </w:t>
      </w:r>
      <w:r w:rsidR="00D85E42">
        <w:rPr>
          <w:rFonts w:ascii="Arial" w:hAnsi="Arial" w:cs="Arial"/>
        </w:rPr>
        <w:t xml:space="preserve">job functions and </w:t>
      </w:r>
      <w:r w:rsidRPr="00D85E42">
        <w:rPr>
          <w:rFonts w:ascii="Arial" w:hAnsi="Arial" w:cs="Arial"/>
        </w:rPr>
        <w:t xml:space="preserve">expectations </w:t>
      </w:r>
      <w:r w:rsidR="00B53048" w:rsidRPr="00D85E42">
        <w:rPr>
          <w:rFonts w:ascii="Arial" w:hAnsi="Arial" w:cs="Arial"/>
        </w:rPr>
        <w:t xml:space="preserve">that </w:t>
      </w:r>
      <w:r w:rsidRPr="00D85E42">
        <w:rPr>
          <w:rFonts w:ascii="Arial" w:hAnsi="Arial" w:cs="Arial"/>
        </w:rPr>
        <w:t xml:space="preserve">are not </w:t>
      </w:r>
      <w:r w:rsidR="0043612C" w:rsidRPr="00D85E42">
        <w:rPr>
          <w:rFonts w:ascii="Arial" w:hAnsi="Arial" w:cs="Arial"/>
        </w:rPr>
        <w:t xml:space="preserve">already </w:t>
      </w:r>
      <w:r w:rsidR="0050513B">
        <w:rPr>
          <w:rFonts w:ascii="Arial" w:hAnsi="Arial" w:cs="Arial"/>
        </w:rPr>
        <w:t>included</w:t>
      </w:r>
      <w:r w:rsidR="0043612C" w:rsidRPr="00D85E42">
        <w:rPr>
          <w:rFonts w:ascii="Arial" w:hAnsi="Arial" w:cs="Arial"/>
        </w:rPr>
        <w:t xml:space="preserve"> as typical functions </w:t>
      </w:r>
      <w:r w:rsidRPr="00D85E42">
        <w:rPr>
          <w:rFonts w:ascii="Arial" w:hAnsi="Arial" w:cs="Arial"/>
        </w:rPr>
        <w:t>within the OPM-</w:t>
      </w:r>
      <w:r w:rsidR="0050513B">
        <w:rPr>
          <w:rFonts w:ascii="Arial" w:hAnsi="Arial" w:cs="Arial"/>
        </w:rPr>
        <w:t>developed</w:t>
      </w:r>
      <w:r w:rsidR="0050513B" w:rsidRPr="00D85E42">
        <w:rPr>
          <w:rFonts w:ascii="Arial" w:hAnsi="Arial" w:cs="Arial"/>
        </w:rPr>
        <w:t xml:space="preserve"> </w:t>
      </w:r>
      <w:r w:rsidRPr="00D85E42">
        <w:rPr>
          <w:rFonts w:ascii="Arial" w:hAnsi="Arial" w:cs="Arial"/>
        </w:rPr>
        <w:t>standards</w:t>
      </w:r>
      <w:r w:rsidR="00934A3C" w:rsidRPr="00D85E42">
        <w:rPr>
          <w:rFonts w:ascii="Arial" w:hAnsi="Arial" w:cs="Arial"/>
        </w:rPr>
        <w:t xml:space="preserve">. </w:t>
      </w:r>
      <w:r w:rsidR="008F1D79" w:rsidRPr="00D85E42">
        <w:rPr>
          <w:rFonts w:ascii="Arial" w:hAnsi="Arial" w:cs="Arial"/>
        </w:rPr>
        <w:t>T</w:t>
      </w:r>
      <w:r w:rsidRPr="00D85E42">
        <w:rPr>
          <w:rFonts w:ascii="Arial" w:hAnsi="Arial" w:cs="Arial"/>
        </w:rPr>
        <w:t xml:space="preserve">he same standards </w:t>
      </w:r>
      <w:r w:rsidR="008F1D79" w:rsidRPr="00D85E42">
        <w:rPr>
          <w:rFonts w:ascii="Arial" w:hAnsi="Arial" w:cs="Arial"/>
        </w:rPr>
        <w:t>should be</w:t>
      </w:r>
      <w:r w:rsidRPr="00D85E42">
        <w:rPr>
          <w:rFonts w:ascii="Arial" w:hAnsi="Arial" w:cs="Arial"/>
        </w:rPr>
        <w:t xml:space="preserve"> selected </w:t>
      </w:r>
      <w:r w:rsidR="00D85E42">
        <w:rPr>
          <w:rFonts w:ascii="Arial" w:hAnsi="Arial" w:cs="Arial"/>
        </w:rPr>
        <w:t xml:space="preserve">and established </w:t>
      </w:r>
      <w:r w:rsidRPr="00D85E42">
        <w:rPr>
          <w:rFonts w:ascii="Arial" w:hAnsi="Arial" w:cs="Arial"/>
        </w:rPr>
        <w:t>for employees who perform the same or similar job functions.</w:t>
      </w:r>
      <w:r w:rsidRPr="008B4698">
        <w:rPr>
          <w:rFonts w:ascii="Arial" w:hAnsi="Arial" w:cs="Arial"/>
        </w:rPr>
        <w:t xml:space="preserve"> </w:t>
      </w:r>
    </w:p>
    <w:p w14:paraId="515E35AF" w14:textId="77777777" w:rsidR="0084363B" w:rsidRPr="008B4698" w:rsidRDefault="0084363B" w:rsidP="00934A3C">
      <w:pPr>
        <w:pStyle w:val="NoSpacing"/>
        <w:rPr>
          <w:rFonts w:ascii="Arial" w:hAnsi="Arial" w:cs="Arial"/>
        </w:rPr>
      </w:pPr>
    </w:p>
    <w:p w14:paraId="795D5280" w14:textId="4B7FCEBD" w:rsidR="00934A3C" w:rsidRPr="008B4698" w:rsidRDefault="004A49AB" w:rsidP="00934A3C">
      <w:pPr>
        <w:pStyle w:val="NoSpacing"/>
        <w:rPr>
          <w:rFonts w:ascii="Arial" w:hAnsi="Arial" w:cs="Arial"/>
        </w:rPr>
      </w:pPr>
      <w:r w:rsidRPr="008B4698">
        <w:rPr>
          <w:rFonts w:ascii="Arial" w:hAnsi="Arial" w:cs="Arial"/>
        </w:rPr>
        <w:t xml:space="preserve">During the rating phase of the process, evaluating managers will score an employee’s job performance based on one of the below </w:t>
      </w:r>
      <w:r w:rsidR="00934A3C" w:rsidRPr="008B4698">
        <w:rPr>
          <w:rFonts w:ascii="Arial" w:hAnsi="Arial" w:cs="Arial"/>
        </w:rPr>
        <w:t>ratin</w:t>
      </w:r>
      <w:r w:rsidRPr="008B4698">
        <w:rPr>
          <w:rFonts w:ascii="Arial" w:hAnsi="Arial" w:cs="Arial"/>
        </w:rPr>
        <w:t>gs</w:t>
      </w:r>
      <w:r w:rsidR="00E856E9" w:rsidRPr="008B4698">
        <w:rPr>
          <w:rFonts w:ascii="Arial" w:hAnsi="Arial" w:cs="Arial"/>
        </w:rPr>
        <w:t xml:space="preserve">: </w:t>
      </w:r>
    </w:p>
    <w:p w14:paraId="6FE24696" w14:textId="77777777" w:rsidR="00E856E9" w:rsidRPr="008B4698" w:rsidRDefault="00E856E9" w:rsidP="00934A3C">
      <w:pPr>
        <w:pStyle w:val="NoSpacing"/>
        <w:rPr>
          <w:rFonts w:ascii="Arial" w:hAnsi="Arial" w:cs="Arial"/>
          <w:b/>
        </w:rPr>
      </w:pPr>
    </w:p>
    <w:p w14:paraId="6DDF10A2" w14:textId="49B8184D" w:rsidR="0043612C" w:rsidRDefault="00F52363" w:rsidP="00F52363">
      <w:pPr>
        <w:pStyle w:val="NoSpacing"/>
        <w:rPr>
          <w:rFonts w:ascii="Arial" w:hAnsi="Arial" w:cs="Arial"/>
          <w:bCs/>
        </w:rPr>
      </w:pPr>
      <w:r>
        <w:rPr>
          <w:rFonts w:ascii="Arial" w:hAnsi="Arial" w:cs="Arial"/>
          <w:bCs/>
        </w:rPr>
        <w:t>1—U</w:t>
      </w:r>
      <w:r w:rsidR="0043612C">
        <w:rPr>
          <w:rFonts w:ascii="Arial" w:hAnsi="Arial" w:cs="Arial"/>
          <w:bCs/>
        </w:rPr>
        <w:t>nsatisfactory</w:t>
      </w:r>
    </w:p>
    <w:p w14:paraId="48F28D09" w14:textId="705463C5" w:rsidR="0043612C" w:rsidRDefault="00F52363" w:rsidP="00F52363">
      <w:pPr>
        <w:pStyle w:val="NoSpacing"/>
        <w:rPr>
          <w:rFonts w:ascii="Arial" w:hAnsi="Arial" w:cs="Arial"/>
          <w:bCs/>
        </w:rPr>
      </w:pPr>
      <w:r>
        <w:rPr>
          <w:rFonts w:ascii="Arial" w:hAnsi="Arial" w:cs="Arial"/>
          <w:bCs/>
        </w:rPr>
        <w:t>2—</w:t>
      </w:r>
      <w:r w:rsidR="0043612C">
        <w:rPr>
          <w:rFonts w:ascii="Arial" w:hAnsi="Arial" w:cs="Arial"/>
          <w:bCs/>
        </w:rPr>
        <w:t>Needs Improvement</w:t>
      </w:r>
    </w:p>
    <w:p w14:paraId="02682974" w14:textId="1B2BF283" w:rsidR="0043612C" w:rsidRDefault="00F52363" w:rsidP="00F52363">
      <w:pPr>
        <w:pStyle w:val="NoSpacing"/>
        <w:rPr>
          <w:rFonts w:ascii="Arial" w:hAnsi="Arial" w:cs="Arial"/>
          <w:bCs/>
        </w:rPr>
      </w:pPr>
      <w:r>
        <w:rPr>
          <w:rFonts w:ascii="Arial" w:hAnsi="Arial" w:cs="Arial"/>
          <w:bCs/>
        </w:rPr>
        <w:t>3—</w:t>
      </w:r>
      <w:r w:rsidR="0043612C">
        <w:rPr>
          <w:rFonts w:ascii="Arial" w:hAnsi="Arial" w:cs="Arial"/>
          <w:bCs/>
        </w:rPr>
        <w:t>Meets Expectations</w:t>
      </w:r>
    </w:p>
    <w:p w14:paraId="299521CA" w14:textId="39E5EBAE" w:rsidR="007D2004" w:rsidRPr="008B4698" w:rsidRDefault="00F52363" w:rsidP="00F52363">
      <w:pPr>
        <w:pStyle w:val="NoSpacing"/>
        <w:rPr>
          <w:rFonts w:ascii="Arial" w:hAnsi="Arial" w:cs="Arial"/>
          <w:bCs/>
        </w:rPr>
      </w:pPr>
      <w:r>
        <w:rPr>
          <w:rFonts w:ascii="Arial" w:hAnsi="Arial" w:cs="Arial"/>
          <w:bCs/>
        </w:rPr>
        <w:t>4—</w:t>
      </w:r>
      <w:r w:rsidR="00E856E9" w:rsidRPr="008B4698">
        <w:rPr>
          <w:rFonts w:ascii="Arial" w:hAnsi="Arial" w:cs="Arial"/>
          <w:bCs/>
        </w:rPr>
        <w:t xml:space="preserve">Exceeds Expectations </w:t>
      </w:r>
    </w:p>
    <w:p w14:paraId="79D2A169" w14:textId="77777777" w:rsidR="00934A3C" w:rsidRPr="008B4698" w:rsidRDefault="00934A3C" w:rsidP="00934A3C">
      <w:pPr>
        <w:pStyle w:val="NoSpacing"/>
        <w:rPr>
          <w:rFonts w:ascii="Arial" w:hAnsi="Arial" w:cs="Arial"/>
          <w:u w:val="single"/>
        </w:rPr>
      </w:pPr>
    </w:p>
    <w:p w14:paraId="660E587D" w14:textId="45970346" w:rsidR="007D76AE" w:rsidRDefault="0008330E" w:rsidP="000F530A">
      <w:pPr>
        <w:pStyle w:val="NoSpacing"/>
        <w:rPr>
          <w:rFonts w:ascii="Arial" w:hAnsi="Arial" w:cs="Arial"/>
        </w:rPr>
      </w:pPr>
      <w:r>
        <w:rPr>
          <w:rFonts w:ascii="Arial" w:hAnsi="Arial" w:cs="Arial"/>
        </w:rPr>
        <w:t>The</w:t>
      </w:r>
      <w:r w:rsidR="004A49AB" w:rsidRPr="008B4698">
        <w:rPr>
          <w:rFonts w:ascii="Arial" w:hAnsi="Arial" w:cs="Arial"/>
        </w:rPr>
        <w:t xml:space="preserve"> </w:t>
      </w:r>
      <w:hyperlink r:id="rId9" w:history="1">
        <w:r w:rsidR="004A49AB" w:rsidRPr="008926A6">
          <w:rPr>
            <w:rStyle w:val="Hyperlink"/>
            <w:rFonts w:ascii="Arial" w:hAnsi="Arial" w:cs="Arial"/>
          </w:rPr>
          <w:t>rating definitions matrix</w:t>
        </w:r>
      </w:hyperlink>
      <w:r w:rsidR="004A49AB" w:rsidRPr="008B4698">
        <w:rPr>
          <w:rFonts w:ascii="Arial" w:hAnsi="Arial" w:cs="Arial"/>
        </w:rPr>
        <w:t xml:space="preserve"> </w:t>
      </w:r>
      <w:r>
        <w:rPr>
          <w:rFonts w:ascii="Arial" w:hAnsi="Arial" w:cs="Arial"/>
        </w:rPr>
        <w:t>is</w:t>
      </w:r>
      <w:r w:rsidR="004A49AB" w:rsidRPr="008B4698">
        <w:rPr>
          <w:rFonts w:ascii="Arial" w:hAnsi="Arial" w:cs="Arial"/>
        </w:rPr>
        <w:t xml:space="preserve"> a </w:t>
      </w:r>
      <w:r>
        <w:rPr>
          <w:rFonts w:ascii="Arial" w:hAnsi="Arial" w:cs="Arial"/>
        </w:rPr>
        <w:t>guide</w:t>
      </w:r>
      <w:r w:rsidR="009C3D28">
        <w:rPr>
          <w:rFonts w:ascii="Arial" w:hAnsi="Arial" w:cs="Arial"/>
        </w:rPr>
        <w:t xml:space="preserve"> to</w:t>
      </w:r>
      <w:r w:rsidR="004A49AB" w:rsidRPr="008B4698">
        <w:rPr>
          <w:rFonts w:ascii="Arial" w:hAnsi="Arial" w:cs="Arial"/>
        </w:rPr>
        <w:t xml:space="preserve"> assist evaluating managers in determining what performance levels are expected within each rating group. </w:t>
      </w:r>
      <w:r w:rsidR="000F530A" w:rsidRPr="008B4698">
        <w:rPr>
          <w:rFonts w:ascii="Arial" w:hAnsi="Arial" w:cs="Arial"/>
        </w:rPr>
        <w:t xml:space="preserve">The evaluating manager must include sufficient documentation to support an employee’s overall rating. </w:t>
      </w:r>
      <w:r w:rsidR="0050513B">
        <w:rPr>
          <w:rFonts w:ascii="Arial" w:hAnsi="Arial" w:cs="Arial"/>
        </w:rPr>
        <w:t>E</w:t>
      </w:r>
      <w:r w:rsidR="00210A05">
        <w:rPr>
          <w:rFonts w:ascii="Arial" w:hAnsi="Arial" w:cs="Arial"/>
        </w:rPr>
        <w:t xml:space="preserve">valuating managers </w:t>
      </w:r>
      <w:r w:rsidR="0050513B">
        <w:rPr>
          <w:rFonts w:ascii="Arial" w:hAnsi="Arial" w:cs="Arial"/>
        </w:rPr>
        <w:t>can</w:t>
      </w:r>
      <w:r w:rsidR="00210A05">
        <w:rPr>
          <w:rFonts w:ascii="Arial" w:hAnsi="Arial" w:cs="Arial"/>
        </w:rPr>
        <w:t xml:space="preserve"> upload </w:t>
      </w:r>
      <w:r w:rsidR="002978F6">
        <w:rPr>
          <w:rFonts w:ascii="Arial" w:hAnsi="Arial" w:cs="Arial"/>
        </w:rPr>
        <w:t xml:space="preserve">their </w:t>
      </w:r>
      <w:r w:rsidR="00426B88">
        <w:rPr>
          <w:rFonts w:ascii="Arial" w:hAnsi="Arial" w:cs="Arial"/>
        </w:rPr>
        <w:lastRenderedPageBreak/>
        <w:t xml:space="preserve">supporting </w:t>
      </w:r>
      <w:r w:rsidR="00210A05">
        <w:rPr>
          <w:rFonts w:ascii="Arial" w:hAnsi="Arial" w:cs="Arial"/>
        </w:rPr>
        <w:t>documentation</w:t>
      </w:r>
      <w:r w:rsidR="0050513B">
        <w:rPr>
          <w:rFonts w:ascii="Arial" w:hAnsi="Arial" w:cs="Arial"/>
        </w:rPr>
        <w:t xml:space="preserve"> within the EASE manager performance tile</w:t>
      </w:r>
      <w:r w:rsidR="00210A05">
        <w:rPr>
          <w:rFonts w:ascii="Arial" w:hAnsi="Arial" w:cs="Arial"/>
        </w:rPr>
        <w:t xml:space="preserve">. </w:t>
      </w:r>
      <w:r w:rsidR="00FA6782">
        <w:rPr>
          <w:rFonts w:ascii="Arial" w:hAnsi="Arial" w:cs="Arial"/>
        </w:rPr>
        <w:t xml:space="preserve">Prior to conducting the rating, evaluating managers </w:t>
      </w:r>
      <w:r w:rsidR="006C2EBA">
        <w:rPr>
          <w:rFonts w:ascii="Arial" w:hAnsi="Arial" w:cs="Arial"/>
        </w:rPr>
        <w:t>shall</w:t>
      </w:r>
      <w:r w:rsidR="007D76AE">
        <w:rPr>
          <w:rFonts w:ascii="Arial" w:hAnsi="Arial" w:cs="Arial"/>
        </w:rPr>
        <w:t xml:space="preserve"> request their employees provide any</w:t>
      </w:r>
      <w:r w:rsidR="00FA6782">
        <w:rPr>
          <w:rFonts w:ascii="Arial" w:hAnsi="Arial" w:cs="Arial"/>
        </w:rPr>
        <w:t xml:space="preserve"> documentation </w:t>
      </w:r>
      <w:r w:rsidR="007D76AE">
        <w:rPr>
          <w:rFonts w:ascii="Arial" w:hAnsi="Arial" w:cs="Arial"/>
        </w:rPr>
        <w:t xml:space="preserve">they would like to be considered. </w:t>
      </w:r>
      <w:r w:rsidR="00922EC6">
        <w:rPr>
          <w:rFonts w:ascii="Arial" w:hAnsi="Arial" w:cs="Arial"/>
        </w:rPr>
        <w:t>Evaluating managers should consider any documentation provided by the employee when conducting their evaluation</w:t>
      </w:r>
      <w:r w:rsidR="00B7303B">
        <w:rPr>
          <w:rFonts w:ascii="Arial" w:hAnsi="Arial" w:cs="Arial"/>
        </w:rPr>
        <w:t xml:space="preserve">; however, any documentation provided by the employee does not guarantee the employee will receive a higher rating. </w:t>
      </w:r>
      <w:r w:rsidR="00922EC6">
        <w:rPr>
          <w:rFonts w:ascii="Arial" w:hAnsi="Arial" w:cs="Arial"/>
        </w:rPr>
        <w:t xml:space="preserve">An employee will not be penalized for not providing documentation. </w:t>
      </w:r>
    </w:p>
    <w:p w14:paraId="4500F4CA" w14:textId="77777777" w:rsidR="007D76AE" w:rsidRDefault="007D76AE" w:rsidP="000F530A">
      <w:pPr>
        <w:pStyle w:val="NoSpacing"/>
        <w:rPr>
          <w:rFonts w:ascii="Arial" w:hAnsi="Arial" w:cs="Arial"/>
        </w:rPr>
      </w:pPr>
    </w:p>
    <w:p w14:paraId="4078D96C" w14:textId="4D657589" w:rsidR="007D76AE" w:rsidRPr="008B4698" w:rsidRDefault="007D76AE" w:rsidP="000F530A">
      <w:pPr>
        <w:pStyle w:val="NoSpacing"/>
        <w:rPr>
          <w:rFonts w:ascii="Arial" w:hAnsi="Arial" w:cs="Arial"/>
        </w:rPr>
      </w:pPr>
      <w:r>
        <w:rPr>
          <w:rFonts w:ascii="Arial" w:hAnsi="Arial" w:cs="Arial"/>
        </w:rPr>
        <w:t>The MyARPerformance system allows evaluating managers to request a part</w:t>
      </w:r>
      <w:r w:rsidR="007A166B">
        <w:rPr>
          <w:rFonts w:ascii="Arial" w:hAnsi="Arial" w:cs="Arial"/>
        </w:rPr>
        <w:t>ial</w:t>
      </w:r>
      <w:r>
        <w:rPr>
          <w:rFonts w:ascii="Arial" w:hAnsi="Arial" w:cs="Arial"/>
        </w:rPr>
        <w:t xml:space="preserve"> appraisal be conducted by anyone who may have direct and relevant knowledge of the employee’s job performance during the evaluation period. This </w:t>
      </w:r>
      <w:r w:rsidR="006C2EBA">
        <w:rPr>
          <w:rFonts w:ascii="Arial" w:hAnsi="Arial" w:cs="Arial"/>
        </w:rPr>
        <w:t>could include</w:t>
      </w:r>
      <w:r>
        <w:rPr>
          <w:rFonts w:ascii="Arial" w:hAnsi="Arial" w:cs="Arial"/>
        </w:rPr>
        <w:t xml:space="preserve"> the employee’s previous manager</w:t>
      </w:r>
      <w:r w:rsidR="009C3D28">
        <w:rPr>
          <w:rFonts w:ascii="Arial" w:hAnsi="Arial" w:cs="Arial"/>
        </w:rPr>
        <w:t>,</w:t>
      </w:r>
      <w:r>
        <w:rPr>
          <w:rFonts w:ascii="Arial" w:hAnsi="Arial" w:cs="Arial"/>
        </w:rPr>
        <w:t xml:space="preserve"> if management changed during the evaluation period, a customer, client, or vendor, or other department leadership. </w:t>
      </w:r>
    </w:p>
    <w:p w14:paraId="7A00167E" w14:textId="77777777" w:rsidR="000F530A" w:rsidRPr="008B4698" w:rsidRDefault="000F530A" w:rsidP="00934A3C">
      <w:pPr>
        <w:pStyle w:val="NoSpacing"/>
        <w:rPr>
          <w:rFonts w:ascii="Arial" w:hAnsi="Arial" w:cs="Arial"/>
          <w:u w:val="single"/>
        </w:rPr>
      </w:pPr>
    </w:p>
    <w:p w14:paraId="6B62EBF4" w14:textId="0B9D610C" w:rsidR="00905CE2" w:rsidRPr="008B4698" w:rsidRDefault="00905CE2" w:rsidP="00905CE2">
      <w:pPr>
        <w:pStyle w:val="NoSpacing"/>
        <w:rPr>
          <w:rFonts w:ascii="Arial" w:hAnsi="Arial" w:cs="Arial"/>
        </w:rPr>
      </w:pPr>
      <w:r w:rsidRPr="00134420">
        <w:rPr>
          <w:rFonts w:ascii="Arial" w:hAnsi="Arial" w:cs="Arial"/>
        </w:rPr>
        <w:t>Performance evaluations are confidential documents. Evaluating</w:t>
      </w:r>
      <w:r w:rsidRPr="008B4698">
        <w:rPr>
          <w:rFonts w:ascii="Arial" w:hAnsi="Arial" w:cs="Arial"/>
        </w:rPr>
        <w:t xml:space="preserve"> managers and </w:t>
      </w:r>
      <w:r w:rsidR="0035143F">
        <w:rPr>
          <w:rFonts w:ascii="Arial" w:hAnsi="Arial" w:cs="Arial"/>
        </w:rPr>
        <w:t xml:space="preserve">other </w:t>
      </w:r>
      <w:r w:rsidRPr="008B4698">
        <w:rPr>
          <w:rFonts w:ascii="Arial" w:hAnsi="Arial" w:cs="Arial"/>
        </w:rPr>
        <w:t xml:space="preserve">department leadership must not share or discuss evaluations with </w:t>
      </w:r>
      <w:r w:rsidR="0035143F">
        <w:rPr>
          <w:rFonts w:ascii="Arial" w:hAnsi="Arial" w:cs="Arial"/>
        </w:rPr>
        <w:t>any employee</w:t>
      </w:r>
      <w:r w:rsidRPr="008B4698">
        <w:rPr>
          <w:rFonts w:ascii="Arial" w:hAnsi="Arial" w:cs="Arial"/>
        </w:rPr>
        <w:t xml:space="preserve"> who does not require access or have a legitimate business need. Any employee found to have violated confidentiality</w:t>
      </w:r>
      <w:r w:rsidR="00134420">
        <w:rPr>
          <w:rFonts w:ascii="Arial" w:hAnsi="Arial" w:cs="Arial"/>
        </w:rPr>
        <w:t xml:space="preserve"> </w:t>
      </w:r>
      <w:r w:rsidR="00B92768">
        <w:rPr>
          <w:rFonts w:ascii="Arial" w:hAnsi="Arial" w:cs="Arial"/>
        </w:rPr>
        <w:t xml:space="preserve">regarding another employee’s evaluation </w:t>
      </w:r>
      <w:r w:rsidR="008D2E39" w:rsidRPr="008B4698">
        <w:rPr>
          <w:rFonts w:ascii="Arial" w:hAnsi="Arial" w:cs="Arial"/>
        </w:rPr>
        <w:t>may</w:t>
      </w:r>
      <w:r w:rsidRPr="008B4698">
        <w:rPr>
          <w:rFonts w:ascii="Arial" w:hAnsi="Arial" w:cs="Arial"/>
        </w:rPr>
        <w:t xml:space="preserve"> be subject </w:t>
      </w:r>
      <w:r w:rsidR="008D2E39" w:rsidRPr="008B4698">
        <w:rPr>
          <w:rFonts w:ascii="Arial" w:hAnsi="Arial" w:cs="Arial"/>
        </w:rPr>
        <w:t>to disciplinary action as determined by his or her department.</w:t>
      </w:r>
      <w:r w:rsidRPr="008B4698">
        <w:rPr>
          <w:rFonts w:ascii="Arial" w:hAnsi="Arial" w:cs="Arial"/>
        </w:rPr>
        <w:t xml:space="preserve">  </w:t>
      </w:r>
    </w:p>
    <w:p w14:paraId="1FC88A00" w14:textId="77777777" w:rsidR="00905CE2" w:rsidRPr="008B4698" w:rsidRDefault="00905CE2" w:rsidP="00934A3C">
      <w:pPr>
        <w:pStyle w:val="NoSpacing"/>
        <w:rPr>
          <w:rFonts w:ascii="Arial" w:hAnsi="Arial" w:cs="Arial"/>
          <w:u w:val="single"/>
        </w:rPr>
      </w:pPr>
    </w:p>
    <w:p w14:paraId="7423C3C6" w14:textId="6654A491" w:rsidR="00134420" w:rsidRPr="00134420" w:rsidRDefault="004A49AB" w:rsidP="004A49AB">
      <w:pPr>
        <w:pStyle w:val="NoSpacing"/>
        <w:rPr>
          <w:rFonts w:ascii="Arial" w:hAnsi="Arial" w:cs="Arial"/>
        </w:rPr>
      </w:pPr>
      <w:r w:rsidRPr="008B4698">
        <w:rPr>
          <w:rFonts w:ascii="Arial" w:hAnsi="Arial" w:cs="Arial"/>
          <w:b/>
          <w:bCs/>
        </w:rPr>
        <w:t>Performance Review Committee</w:t>
      </w:r>
      <w:r w:rsidRPr="008B4698">
        <w:rPr>
          <w:rFonts w:ascii="Arial" w:hAnsi="Arial" w:cs="Arial"/>
        </w:rPr>
        <w:t xml:space="preserve">—Each department must establish an internal review committee that reviews all performance evaluations within that department. The purpose of the review committee is to ensure </w:t>
      </w:r>
      <w:r w:rsidR="00F52363">
        <w:rPr>
          <w:rFonts w:ascii="Arial" w:hAnsi="Arial" w:cs="Arial"/>
        </w:rPr>
        <w:t xml:space="preserve">both </w:t>
      </w:r>
      <w:r w:rsidRPr="008B4698">
        <w:rPr>
          <w:rFonts w:ascii="Arial" w:hAnsi="Arial" w:cs="Arial"/>
        </w:rPr>
        <w:t xml:space="preserve">accurate and consistent </w:t>
      </w:r>
      <w:r w:rsidR="00134420">
        <w:rPr>
          <w:rFonts w:ascii="Arial" w:hAnsi="Arial" w:cs="Arial"/>
        </w:rPr>
        <w:t xml:space="preserve">performance </w:t>
      </w:r>
      <w:r w:rsidR="00295603">
        <w:rPr>
          <w:rFonts w:ascii="Arial" w:hAnsi="Arial" w:cs="Arial"/>
        </w:rPr>
        <w:t xml:space="preserve">standards are established within a classification as well as accurate and consistent </w:t>
      </w:r>
      <w:r w:rsidRPr="008B4698">
        <w:rPr>
          <w:rFonts w:ascii="Arial" w:hAnsi="Arial" w:cs="Arial"/>
        </w:rPr>
        <w:t xml:space="preserve">performance evaluation results </w:t>
      </w:r>
      <w:r w:rsidR="00295603">
        <w:rPr>
          <w:rFonts w:ascii="Arial" w:hAnsi="Arial" w:cs="Arial"/>
        </w:rPr>
        <w:t xml:space="preserve">with sufficient </w:t>
      </w:r>
      <w:r w:rsidRPr="008B4698">
        <w:rPr>
          <w:rFonts w:ascii="Arial" w:hAnsi="Arial" w:cs="Arial"/>
        </w:rPr>
        <w:t xml:space="preserve">supporting documentation. </w:t>
      </w:r>
      <w:r w:rsidR="00F52363">
        <w:rPr>
          <w:rFonts w:ascii="Arial" w:hAnsi="Arial" w:cs="Arial"/>
        </w:rPr>
        <w:t xml:space="preserve">Departments must submit to OPM the names </w:t>
      </w:r>
      <w:r w:rsidR="00210A05">
        <w:rPr>
          <w:rFonts w:ascii="Arial" w:hAnsi="Arial" w:cs="Arial"/>
        </w:rPr>
        <w:t xml:space="preserve">and job titles </w:t>
      </w:r>
      <w:r w:rsidR="00F52363">
        <w:rPr>
          <w:rFonts w:ascii="Arial" w:hAnsi="Arial" w:cs="Arial"/>
        </w:rPr>
        <w:t xml:space="preserve">of </w:t>
      </w:r>
      <w:r w:rsidR="007D76AE">
        <w:rPr>
          <w:rFonts w:ascii="Arial" w:hAnsi="Arial" w:cs="Arial"/>
        </w:rPr>
        <w:t>all</w:t>
      </w:r>
      <w:r w:rsidR="00F52363">
        <w:rPr>
          <w:rFonts w:ascii="Arial" w:hAnsi="Arial" w:cs="Arial"/>
        </w:rPr>
        <w:t xml:space="preserve"> committee member</w:t>
      </w:r>
      <w:r w:rsidR="007D76AE">
        <w:rPr>
          <w:rFonts w:ascii="Arial" w:hAnsi="Arial" w:cs="Arial"/>
        </w:rPr>
        <w:t>s</w:t>
      </w:r>
      <w:r w:rsidR="00632A54">
        <w:rPr>
          <w:rFonts w:ascii="Arial" w:hAnsi="Arial" w:cs="Arial"/>
        </w:rPr>
        <w:t xml:space="preserve"> for approval</w:t>
      </w:r>
      <w:r w:rsidR="00F52363">
        <w:rPr>
          <w:rFonts w:ascii="Arial" w:hAnsi="Arial" w:cs="Arial"/>
        </w:rPr>
        <w:t xml:space="preserve">. </w:t>
      </w:r>
    </w:p>
    <w:p w14:paraId="003DC1EE" w14:textId="77777777" w:rsidR="004A49AB" w:rsidRPr="008B4698" w:rsidRDefault="004A49AB" w:rsidP="00934A3C">
      <w:pPr>
        <w:pStyle w:val="NoSpacing"/>
        <w:rPr>
          <w:rFonts w:ascii="Arial" w:hAnsi="Arial" w:cs="Arial"/>
          <w:u w:val="single"/>
        </w:rPr>
      </w:pPr>
    </w:p>
    <w:p w14:paraId="4025959B" w14:textId="6A7F8B60" w:rsidR="004A49AB" w:rsidRPr="008B4698" w:rsidRDefault="0096501C" w:rsidP="00934A3C">
      <w:pPr>
        <w:pStyle w:val="NoSpacing"/>
        <w:rPr>
          <w:rFonts w:ascii="Arial" w:hAnsi="Arial" w:cs="Arial"/>
        </w:rPr>
      </w:pPr>
      <w:r>
        <w:rPr>
          <w:rFonts w:ascii="Arial" w:hAnsi="Arial" w:cs="Arial"/>
          <w:b/>
          <w:bCs/>
        </w:rPr>
        <w:t>Performance results</w:t>
      </w:r>
      <w:r w:rsidR="007D2004" w:rsidRPr="008B4698">
        <w:rPr>
          <w:rFonts w:ascii="Arial" w:hAnsi="Arial" w:cs="Arial"/>
        </w:rPr>
        <w:t>—</w:t>
      </w:r>
      <w:r w:rsidR="00582040" w:rsidRPr="008B4698">
        <w:rPr>
          <w:rFonts w:ascii="Arial" w:hAnsi="Arial" w:cs="Arial"/>
        </w:rPr>
        <w:t xml:space="preserve">Department Secretaries </w:t>
      </w:r>
      <w:r w:rsidR="00E856E9" w:rsidRPr="008B4698">
        <w:rPr>
          <w:rFonts w:ascii="Arial" w:hAnsi="Arial" w:cs="Arial"/>
        </w:rPr>
        <w:t xml:space="preserve">are expected to </w:t>
      </w:r>
      <w:r w:rsidR="004A49AB" w:rsidRPr="008B4698">
        <w:rPr>
          <w:rFonts w:ascii="Arial" w:hAnsi="Arial" w:cs="Arial"/>
        </w:rPr>
        <w:t>review</w:t>
      </w:r>
      <w:r w:rsidR="00582040" w:rsidRPr="008B4698">
        <w:rPr>
          <w:rFonts w:ascii="Arial" w:hAnsi="Arial" w:cs="Arial"/>
        </w:rPr>
        <w:t xml:space="preserve"> overall employee performance results</w:t>
      </w:r>
      <w:r w:rsidR="004A49AB" w:rsidRPr="008B4698">
        <w:rPr>
          <w:rFonts w:ascii="Arial" w:hAnsi="Arial" w:cs="Arial"/>
        </w:rPr>
        <w:t xml:space="preserve"> prior to</w:t>
      </w:r>
      <w:r>
        <w:rPr>
          <w:rFonts w:ascii="Arial" w:hAnsi="Arial" w:cs="Arial"/>
        </w:rPr>
        <w:t xml:space="preserve"> the</w:t>
      </w:r>
      <w:r w:rsidR="004A49AB" w:rsidRPr="008B4698">
        <w:rPr>
          <w:rFonts w:ascii="Arial" w:hAnsi="Arial" w:cs="Arial"/>
        </w:rPr>
        <w:t xml:space="preserve"> final submission to OPM.</w:t>
      </w:r>
      <w:r w:rsidR="00905CE2" w:rsidRPr="008B4698">
        <w:rPr>
          <w:rFonts w:ascii="Arial" w:hAnsi="Arial" w:cs="Arial"/>
        </w:rPr>
        <w:t xml:space="preserve"> OPM will closely review each department’s final evaluations</w:t>
      </w:r>
      <w:r>
        <w:rPr>
          <w:rFonts w:ascii="Arial" w:hAnsi="Arial" w:cs="Arial"/>
        </w:rPr>
        <w:t xml:space="preserve"> and </w:t>
      </w:r>
      <w:r w:rsidR="00905CE2" w:rsidRPr="008B4698">
        <w:rPr>
          <w:rFonts w:ascii="Arial" w:hAnsi="Arial" w:cs="Arial"/>
        </w:rPr>
        <w:t xml:space="preserve">may contact a department if an evaluation is determined to not include sufficient justification or documentation to support the overall rating. </w:t>
      </w:r>
    </w:p>
    <w:p w14:paraId="1E75C978" w14:textId="77777777" w:rsidR="00934A3C" w:rsidRPr="008B4698" w:rsidRDefault="00934A3C" w:rsidP="00934A3C">
      <w:pPr>
        <w:pStyle w:val="NoSpacing"/>
        <w:rPr>
          <w:rFonts w:ascii="Arial" w:hAnsi="Arial" w:cs="Arial"/>
          <w:u w:val="single"/>
        </w:rPr>
      </w:pPr>
    </w:p>
    <w:p w14:paraId="2CD292C3" w14:textId="63B884F4" w:rsidR="00C4620E" w:rsidRPr="008B4698" w:rsidRDefault="00C4620E" w:rsidP="0098571C">
      <w:pPr>
        <w:pStyle w:val="NoSpacing"/>
        <w:rPr>
          <w:rFonts w:ascii="Arial" w:hAnsi="Arial" w:cs="Arial"/>
        </w:rPr>
      </w:pPr>
      <w:bookmarkStart w:id="0" w:name="_Hlk137454269"/>
      <w:r w:rsidRPr="008B4698">
        <w:rPr>
          <w:rFonts w:ascii="Arial" w:hAnsi="Arial" w:cs="Arial"/>
          <w:b/>
          <w:bCs/>
        </w:rPr>
        <w:t xml:space="preserve">Eligibility for performance </w:t>
      </w:r>
      <w:r w:rsidR="000F530A" w:rsidRPr="008B4698">
        <w:rPr>
          <w:rFonts w:ascii="Arial" w:hAnsi="Arial" w:cs="Arial"/>
          <w:b/>
          <w:bCs/>
        </w:rPr>
        <w:t>compensation</w:t>
      </w:r>
      <w:r w:rsidRPr="008B4698">
        <w:rPr>
          <w:rFonts w:ascii="Arial" w:hAnsi="Arial" w:cs="Arial"/>
        </w:rPr>
        <w:t>—</w:t>
      </w:r>
      <w:r w:rsidR="009B6075" w:rsidRPr="009B6075">
        <w:rPr>
          <w:rFonts w:ascii="Arial" w:hAnsi="Arial" w:cs="Arial"/>
        </w:rPr>
        <w:t>An employee must have been employed by the executive branch since July 1, 2024, and must have remained with their department beginning January 2, 2025, through June 30, 2025, to be eligible for performance compensation as determined by their overall rating.</w:t>
      </w:r>
    </w:p>
    <w:p w14:paraId="1DE2B17F" w14:textId="77777777" w:rsidR="00C4620E" w:rsidRPr="008B4698" w:rsidRDefault="00C4620E" w:rsidP="00BF08CD">
      <w:pPr>
        <w:pStyle w:val="NoSpacing"/>
        <w:rPr>
          <w:rFonts w:ascii="Arial" w:hAnsi="Arial" w:cs="Arial"/>
        </w:rPr>
      </w:pPr>
    </w:p>
    <w:p w14:paraId="486BC83C" w14:textId="569F8542" w:rsidR="00C4620E" w:rsidRPr="008B4698" w:rsidRDefault="00C4620E" w:rsidP="00BF08CD">
      <w:pPr>
        <w:pStyle w:val="NoSpacing"/>
        <w:rPr>
          <w:rFonts w:ascii="Arial" w:hAnsi="Arial" w:cs="Arial"/>
        </w:rPr>
      </w:pPr>
      <w:r w:rsidRPr="008B4698">
        <w:rPr>
          <w:rFonts w:ascii="Arial" w:hAnsi="Arial" w:cs="Arial"/>
          <w:b/>
          <w:bCs/>
        </w:rPr>
        <w:t>Disciplinary Actions</w:t>
      </w:r>
      <w:r w:rsidRPr="008B4698">
        <w:rPr>
          <w:rFonts w:ascii="Arial" w:hAnsi="Arial" w:cs="Arial"/>
        </w:rPr>
        <w:t>—</w:t>
      </w:r>
      <w:r w:rsidR="000F530A" w:rsidRPr="008B4698">
        <w:rPr>
          <w:rFonts w:ascii="Arial" w:hAnsi="Arial" w:cs="Arial"/>
        </w:rPr>
        <w:t>An employee</w:t>
      </w:r>
      <w:r w:rsidRPr="008B4698">
        <w:rPr>
          <w:rFonts w:ascii="Arial" w:hAnsi="Arial" w:cs="Arial"/>
        </w:rPr>
        <w:t xml:space="preserve"> who received a disciplinary probation, suspension, or involuntary demotion during the </w:t>
      </w:r>
      <w:r w:rsidR="00905CE2" w:rsidRPr="008B4698">
        <w:rPr>
          <w:rFonts w:ascii="Arial" w:hAnsi="Arial" w:cs="Arial"/>
        </w:rPr>
        <w:t>performance evaluation cycle</w:t>
      </w:r>
      <w:r w:rsidRPr="008B4698">
        <w:rPr>
          <w:rFonts w:ascii="Arial" w:hAnsi="Arial" w:cs="Arial"/>
        </w:rPr>
        <w:t xml:space="preserve"> is ineligible to receive performance </w:t>
      </w:r>
      <w:r w:rsidR="000F530A" w:rsidRPr="008B4698">
        <w:rPr>
          <w:rFonts w:ascii="Arial" w:hAnsi="Arial" w:cs="Arial"/>
        </w:rPr>
        <w:t>compensation</w:t>
      </w:r>
      <w:r w:rsidR="00905CE2" w:rsidRPr="008B4698">
        <w:rPr>
          <w:rFonts w:ascii="Arial" w:hAnsi="Arial" w:cs="Arial"/>
        </w:rPr>
        <w:t xml:space="preserve"> regardless of the employee’s overall rating</w:t>
      </w:r>
      <w:r w:rsidRPr="008B4698">
        <w:rPr>
          <w:rFonts w:ascii="Arial" w:hAnsi="Arial" w:cs="Arial"/>
        </w:rPr>
        <w:t>.</w:t>
      </w:r>
      <w:r w:rsidR="000F530A" w:rsidRPr="008B4698">
        <w:rPr>
          <w:rFonts w:ascii="Arial" w:hAnsi="Arial" w:cs="Arial"/>
        </w:rPr>
        <w:t xml:space="preserve"> </w:t>
      </w:r>
    </w:p>
    <w:p w14:paraId="1AF6CA75" w14:textId="77777777" w:rsidR="00905CE2" w:rsidRPr="008B4698" w:rsidRDefault="00905CE2" w:rsidP="00BF08CD">
      <w:pPr>
        <w:pStyle w:val="NoSpacing"/>
        <w:rPr>
          <w:rFonts w:ascii="Arial" w:hAnsi="Arial" w:cs="Arial"/>
          <w:b/>
          <w:bCs/>
        </w:rPr>
      </w:pPr>
    </w:p>
    <w:p w14:paraId="55FCDE6E" w14:textId="71039673" w:rsidR="00BF08CD" w:rsidRPr="008B4698" w:rsidRDefault="00BF08CD" w:rsidP="00BF08CD">
      <w:pPr>
        <w:pStyle w:val="NoSpacing"/>
        <w:rPr>
          <w:rFonts w:ascii="Arial" w:hAnsi="Arial" w:cs="Arial"/>
        </w:rPr>
      </w:pPr>
      <w:r w:rsidRPr="008B4698">
        <w:rPr>
          <w:rFonts w:ascii="Arial" w:hAnsi="Arial" w:cs="Arial"/>
          <w:b/>
          <w:bCs/>
        </w:rPr>
        <w:t xml:space="preserve">Performance </w:t>
      </w:r>
      <w:r w:rsidR="000F530A" w:rsidRPr="008B4698">
        <w:rPr>
          <w:rFonts w:ascii="Arial" w:hAnsi="Arial" w:cs="Arial"/>
          <w:b/>
          <w:bCs/>
        </w:rPr>
        <w:t>Compensation</w:t>
      </w:r>
      <w:r w:rsidR="007D2004" w:rsidRPr="008B4698">
        <w:rPr>
          <w:rFonts w:ascii="Arial" w:hAnsi="Arial" w:cs="Arial"/>
        </w:rPr>
        <w:t>—</w:t>
      </w:r>
      <w:r w:rsidR="008D2E39" w:rsidRPr="008B4698">
        <w:rPr>
          <w:rFonts w:ascii="Arial" w:hAnsi="Arial" w:cs="Arial"/>
        </w:rPr>
        <w:t>The p</w:t>
      </w:r>
      <w:r w:rsidRPr="008B4698">
        <w:rPr>
          <w:rFonts w:ascii="Arial" w:hAnsi="Arial" w:cs="Arial"/>
        </w:rPr>
        <w:t xml:space="preserve">erformance </w:t>
      </w:r>
      <w:r w:rsidR="000F530A" w:rsidRPr="008B4698">
        <w:rPr>
          <w:rFonts w:ascii="Arial" w:hAnsi="Arial" w:cs="Arial"/>
        </w:rPr>
        <w:t xml:space="preserve">compensation </w:t>
      </w:r>
      <w:r w:rsidR="008D2E39" w:rsidRPr="008B4698">
        <w:rPr>
          <w:rFonts w:ascii="Arial" w:hAnsi="Arial" w:cs="Arial"/>
        </w:rPr>
        <w:t xml:space="preserve">percentage is </w:t>
      </w:r>
      <w:r w:rsidRPr="008B4698">
        <w:rPr>
          <w:rFonts w:ascii="Arial" w:hAnsi="Arial" w:cs="Arial"/>
        </w:rPr>
        <w:t>determined by the Governor.</w:t>
      </w:r>
      <w:r w:rsidR="00C60A39" w:rsidRPr="008B4698">
        <w:rPr>
          <w:rFonts w:ascii="Arial" w:hAnsi="Arial" w:cs="Arial"/>
        </w:rPr>
        <w:t xml:space="preserve"> </w:t>
      </w:r>
      <w:r w:rsidRPr="008B4698">
        <w:rPr>
          <w:rFonts w:ascii="Arial" w:hAnsi="Arial" w:cs="Arial"/>
        </w:rPr>
        <w:t xml:space="preserve">Performance </w:t>
      </w:r>
      <w:r w:rsidR="000F530A" w:rsidRPr="008B4698">
        <w:rPr>
          <w:rFonts w:ascii="Arial" w:hAnsi="Arial" w:cs="Arial"/>
        </w:rPr>
        <w:t>compensation is</w:t>
      </w:r>
      <w:r w:rsidRPr="008B4698">
        <w:rPr>
          <w:rFonts w:ascii="Arial" w:hAnsi="Arial" w:cs="Arial"/>
        </w:rPr>
        <w:t xml:space="preserve"> added to </w:t>
      </w:r>
      <w:r w:rsidR="0083206B" w:rsidRPr="008B4698">
        <w:rPr>
          <w:rFonts w:ascii="Arial" w:hAnsi="Arial" w:cs="Arial"/>
        </w:rPr>
        <w:t>an eligible</w:t>
      </w:r>
      <w:r w:rsidRPr="008B4698">
        <w:rPr>
          <w:rFonts w:ascii="Arial" w:hAnsi="Arial" w:cs="Arial"/>
        </w:rPr>
        <w:t xml:space="preserve"> employee’s base salary </w:t>
      </w:r>
      <w:r w:rsidR="00C4620E" w:rsidRPr="008B4698">
        <w:rPr>
          <w:rFonts w:ascii="Arial" w:hAnsi="Arial" w:cs="Arial"/>
        </w:rPr>
        <w:t xml:space="preserve">around </w:t>
      </w:r>
      <w:r w:rsidRPr="008B4698">
        <w:rPr>
          <w:rFonts w:ascii="Arial" w:hAnsi="Arial" w:cs="Arial"/>
        </w:rPr>
        <w:t xml:space="preserve">the beginning of the next fiscal year. </w:t>
      </w:r>
      <w:r w:rsidR="007D7444" w:rsidRPr="008B4698">
        <w:rPr>
          <w:rFonts w:ascii="Arial" w:hAnsi="Arial" w:cs="Arial"/>
        </w:rPr>
        <w:t>E</w:t>
      </w:r>
      <w:r w:rsidR="0083206B" w:rsidRPr="008B4698">
        <w:rPr>
          <w:rFonts w:ascii="Arial" w:hAnsi="Arial" w:cs="Arial"/>
        </w:rPr>
        <w:t>ligible e</w:t>
      </w:r>
      <w:r w:rsidR="00C60A39" w:rsidRPr="008B4698">
        <w:rPr>
          <w:rFonts w:ascii="Arial" w:hAnsi="Arial" w:cs="Arial"/>
        </w:rPr>
        <w:t>mployees</w:t>
      </w:r>
      <w:r w:rsidR="00FC5F97" w:rsidRPr="008B4698">
        <w:rPr>
          <w:rFonts w:ascii="Arial" w:hAnsi="Arial" w:cs="Arial"/>
        </w:rPr>
        <w:t xml:space="preserve"> </w:t>
      </w:r>
      <w:r w:rsidR="00EB72BA" w:rsidRPr="008B4698">
        <w:rPr>
          <w:rFonts w:ascii="Arial" w:hAnsi="Arial" w:cs="Arial"/>
        </w:rPr>
        <w:t xml:space="preserve">who </w:t>
      </w:r>
      <w:r w:rsidR="007D7444" w:rsidRPr="008B4698">
        <w:rPr>
          <w:rFonts w:ascii="Arial" w:hAnsi="Arial" w:cs="Arial"/>
        </w:rPr>
        <w:t>are</w:t>
      </w:r>
      <w:r w:rsidR="00EB72BA" w:rsidRPr="008B4698">
        <w:rPr>
          <w:rFonts w:ascii="Arial" w:hAnsi="Arial" w:cs="Arial"/>
        </w:rPr>
        <w:t xml:space="preserve"> </w:t>
      </w:r>
      <w:r w:rsidR="00FC5F97" w:rsidRPr="008B4698">
        <w:rPr>
          <w:rFonts w:ascii="Arial" w:hAnsi="Arial" w:cs="Arial"/>
        </w:rPr>
        <w:t xml:space="preserve">compensated </w:t>
      </w:r>
      <w:r w:rsidR="00EB72BA" w:rsidRPr="008B4698">
        <w:rPr>
          <w:rFonts w:ascii="Arial" w:hAnsi="Arial" w:cs="Arial"/>
        </w:rPr>
        <w:t>near, equal to,</w:t>
      </w:r>
      <w:r w:rsidR="00FC5F97" w:rsidRPr="008B4698">
        <w:rPr>
          <w:rFonts w:ascii="Arial" w:hAnsi="Arial" w:cs="Arial"/>
        </w:rPr>
        <w:t xml:space="preserve"> or above the</w:t>
      </w:r>
      <w:r w:rsidR="007D7444" w:rsidRPr="008B4698">
        <w:rPr>
          <w:rFonts w:ascii="Arial" w:hAnsi="Arial" w:cs="Arial"/>
        </w:rPr>
        <w:t>ir</w:t>
      </w:r>
      <w:r w:rsidR="00FC5F97" w:rsidRPr="008B4698">
        <w:rPr>
          <w:rFonts w:ascii="Arial" w:hAnsi="Arial" w:cs="Arial"/>
        </w:rPr>
        <w:t xml:space="preserve"> maximum pay level </w:t>
      </w:r>
      <w:r w:rsidR="007D7444" w:rsidRPr="008B4698">
        <w:rPr>
          <w:rFonts w:ascii="Arial" w:hAnsi="Arial" w:cs="Arial"/>
        </w:rPr>
        <w:t xml:space="preserve">may </w:t>
      </w:r>
      <w:r w:rsidR="00FC5F97" w:rsidRPr="008B4698">
        <w:rPr>
          <w:rFonts w:ascii="Arial" w:hAnsi="Arial" w:cs="Arial"/>
        </w:rPr>
        <w:t>receive the</w:t>
      </w:r>
      <w:r w:rsidR="00EB72BA" w:rsidRPr="008B4698">
        <w:rPr>
          <w:rFonts w:ascii="Arial" w:hAnsi="Arial" w:cs="Arial"/>
        </w:rPr>
        <w:t>ir</w:t>
      </w:r>
      <w:r w:rsidR="00FC5F97" w:rsidRPr="008B4698">
        <w:rPr>
          <w:rFonts w:ascii="Arial" w:hAnsi="Arial" w:cs="Arial"/>
        </w:rPr>
        <w:t xml:space="preserve"> performance </w:t>
      </w:r>
      <w:r w:rsidR="008D2E39" w:rsidRPr="008B4698">
        <w:rPr>
          <w:rFonts w:ascii="Arial" w:hAnsi="Arial" w:cs="Arial"/>
        </w:rPr>
        <w:t>compensation</w:t>
      </w:r>
      <w:r w:rsidR="00FC5F97" w:rsidRPr="008B4698">
        <w:rPr>
          <w:rFonts w:ascii="Arial" w:hAnsi="Arial" w:cs="Arial"/>
        </w:rPr>
        <w:t xml:space="preserve"> as an increase to their</w:t>
      </w:r>
      <w:r w:rsidRPr="008B4698">
        <w:rPr>
          <w:rFonts w:ascii="Arial" w:hAnsi="Arial" w:cs="Arial"/>
        </w:rPr>
        <w:t xml:space="preserve"> </w:t>
      </w:r>
      <w:r w:rsidR="00EB72BA" w:rsidRPr="008B4698">
        <w:rPr>
          <w:rFonts w:ascii="Arial" w:hAnsi="Arial" w:cs="Arial"/>
        </w:rPr>
        <w:t xml:space="preserve">base </w:t>
      </w:r>
      <w:r w:rsidR="00114963" w:rsidRPr="008B4698">
        <w:rPr>
          <w:rFonts w:ascii="Arial" w:hAnsi="Arial" w:cs="Arial"/>
        </w:rPr>
        <w:t>sala</w:t>
      </w:r>
      <w:r w:rsidR="007D7444" w:rsidRPr="008B4698">
        <w:rPr>
          <w:rFonts w:ascii="Arial" w:hAnsi="Arial" w:cs="Arial"/>
        </w:rPr>
        <w:t xml:space="preserve">ry, </w:t>
      </w:r>
      <w:r w:rsidR="00031059" w:rsidRPr="008B4698">
        <w:rPr>
          <w:rFonts w:ascii="Arial" w:hAnsi="Arial" w:cs="Arial"/>
        </w:rPr>
        <w:t xml:space="preserve">with the resulting salary </w:t>
      </w:r>
      <w:r w:rsidR="007D7444" w:rsidRPr="008B4698">
        <w:rPr>
          <w:rFonts w:ascii="Arial" w:hAnsi="Arial" w:cs="Arial"/>
        </w:rPr>
        <w:t>exceed</w:t>
      </w:r>
      <w:r w:rsidR="00031059" w:rsidRPr="008B4698">
        <w:rPr>
          <w:rFonts w:ascii="Arial" w:hAnsi="Arial" w:cs="Arial"/>
        </w:rPr>
        <w:t>ing the</w:t>
      </w:r>
      <w:r w:rsidR="007D7444" w:rsidRPr="008B4698">
        <w:rPr>
          <w:rFonts w:ascii="Arial" w:hAnsi="Arial" w:cs="Arial"/>
        </w:rPr>
        <w:t xml:space="preserve"> maximum pay level, </w:t>
      </w:r>
      <w:r w:rsidR="008D2E39" w:rsidRPr="008B4698">
        <w:rPr>
          <w:rFonts w:ascii="Arial" w:hAnsi="Arial" w:cs="Arial"/>
        </w:rPr>
        <w:t>after</w:t>
      </w:r>
      <w:r w:rsidR="007D7444" w:rsidRPr="008B4698">
        <w:rPr>
          <w:rFonts w:ascii="Arial" w:hAnsi="Arial" w:cs="Arial"/>
        </w:rPr>
        <w:t xml:space="preserve"> </w:t>
      </w:r>
      <w:r w:rsidR="008D2E39" w:rsidRPr="008B4698">
        <w:rPr>
          <w:rFonts w:ascii="Arial" w:hAnsi="Arial" w:cs="Arial"/>
        </w:rPr>
        <w:t xml:space="preserve">prior </w:t>
      </w:r>
      <w:r w:rsidR="007D7444" w:rsidRPr="008B4698">
        <w:rPr>
          <w:rFonts w:ascii="Arial" w:hAnsi="Arial" w:cs="Arial"/>
        </w:rPr>
        <w:t>approval by Legislative Council</w:t>
      </w:r>
      <w:bookmarkEnd w:id="0"/>
      <w:r w:rsidR="007D7444" w:rsidRPr="008B4698">
        <w:rPr>
          <w:rFonts w:ascii="Arial" w:hAnsi="Arial" w:cs="Arial"/>
        </w:rPr>
        <w:t xml:space="preserve">. </w:t>
      </w:r>
    </w:p>
    <w:p w14:paraId="4E2AF024" w14:textId="77777777" w:rsidR="00934A3C" w:rsidRPr="008B4698" w:rsidRDefault="00934A3C" w:rsidP="00934A3C">
      <w:pPr>
        <w:pStyle w:val="NoSpacing"/>
        <w:rPr>
          <w:rFonts w:ascii="Arial" w:hAnsi="Arial" w:cs="Arial"/>
        </w:rPr>
      </w:pPr>
    </w:p>
    <w:p w14:paraId="4BCDBDCE" w14:textId="10FCF409" w:rsidR="00934A3C" w:rsidRPr="008B4698" w:rsidRDefault="00934A3C" w:rsidP="00934A3C">
      <w:pPr>
        <w:pStyle w:val="NoSpacing"/>
        <w:rPr>
          <w:rFonts w:ascii="Arial" w:hAnsi="Arial" w:cs="Arial"/>
        </w:rPr>
      </w:pPr>
      <w:r w:rsidRPr="008B4698">
        <w:rPr>
          <w:rFonts w:ascii="Arial" w:hAnsi="Arial" w:cs="Arial"/>
          <w:b/>
          <w:bCs/>
        </w:rPr>
        <w:lastRenderedPageBreak/>
        <w:t>Failure to Complete a PE</w:t>
      </w:r>
      <w:r w:rsidR="007D2004" w:rsidRPr="008B4698">
        <w:rPr>
          <w:rFonts w:ascii="Arial" w:hAnsi="Arial" w:cs="Arial"/>
        </w:rPr>
        <w:t>—</w:t>
      </w:r>
      <w:r w:rsidRPr="008B4698">
        <w:rPr>
          <w:rFonts w:ascii="Arial" w:hAnsi="Arial" w:cs="Arial"/>
        </w:rPr>
        <w:t>A</w:t>
      </w:r>
      <w:r w:rsidR="008D2E39" w:rsidRPr="008B4698">
        <w:rPr>
          <w:rFonts w:ascii="Arial" w:hAnsi="Arial" w:cs="Arial"/>
        </w:rPr>
        <w:t xml:space="preserve">n evaluating </w:t>
      </w:r>
      <w:r w:rsidR="000A605D" w:rsidRPr="008B4698">
        <w:rPr>
          <w:rFonts w:ascii="Arial" w:hAnsi="Arial" w:cs="Arial"/>
        </w:rPr>
        <w:t>manager</w:t>
      </w:r>
      <w:r w:rsidRPr="008B4698">
        <w:rPr>
          <w:rFonts w:ascii="Arial" w:hAnsi="Arial" w:cs="Arial"/>
        </w:rPr>
        <w:t xml:space="preserve"> who fails to complete an employee’s performance evaluation by the designated </w:t>
      </w:r>
      <w:r w:rsidR="00CF10AB" w:rsidRPr="008B4698">
        <w:rPr>
          <w:rFonts w:ascii="Arial" w:hAnsi="Arial" w:cs="Arial"/>
        </w:rPr>
        <w:t>deadline</w:t>
      </w:r>
      <w:r w:rsidRPr="008B4698">
        <w:rPr>
          <w:rFonts w:ascii="Arial" w:hAnsi="Arial" w:cs="Arial"/>
        </w:rPr>
        <w:t xml:space="preserve"> </w:t>
      </w:r>
      <w:r w:rsidR="007D2004" w:rsidRPr="008B4698">
        <w:rPr>
          <w:rFonts w:ascii="Arial" w:hAnsi="Arial" w:cs="Arial"/>
        </w:rPr>
        <w:t>is</w:t>
      </w:r>
      <w:r w:rsidRPr="008B4698">
        <w:rPr>
          <w:rFonts w:ascii="Arial" w:hAnsi="Arial" w:cs="Arial"/>
        </w:rPr>
        <w:t xml:space="preserve"> ineligible for performance </w:t>
      </w:r>
      <w:r w:rsidR="000F530A" w:rsidRPr="008B4698">
        <w:rPr>
          <w:rFonts w:ascii="Arial" w:hAnsi="Arial" w:cs="Arial"/>
        </w:rPr>
        <w:t>compensation</w:t>
      </w:r>
      <w:r w:rsidRPr="008B4698">
        <w:rPr>
          <w:rFonts w:ascii="Arial" w:hAnsi="Arial" w:cs="Arial"/>
        </w:rPr>
        <w:t xml:space="preserve"> </w:t>
      </w:r>
      <w:r w:rsidR="007D2004" w:rsidRPr="008B4698">
        <w:rPr>
          <w:rFonts w:ascii="Arial" w:hAnsi="Arial" w:cs="Arial"/>
        </w:rPr>
        <w:t>and may be</w:t>
      </w:r>
      <w:r w:rsidRPr="008B4698">
        <w:rPr>
          <w:rFonts w:ascii="Arial" w:hAnsi="Arial" w:cs="Arial"/>
        </w:rPr>
        <w:t xml:space="preserve"> subject to disciplinary action as determined by </w:t>
      </w:r>
      <w:r w:rsidR="0084696F" w:rsidRPr="008B4698">
        <w:rPr>
          <w:rFonts w:ascii="Arial" w:hAnsi="Arial" w:cs="Arial"/>
        </w:rPr>
        <w:t>his or her department</w:t>
      </w:r>
      <w:r w:rsidRPr="008B4698">
        <w:rPr>
          <w:rFonts w:ascii="Arial" w:hAnsi="Arial" w:cs="Arial"/>
        </w:rPr>
        <w:t>.</w:t>
      </w:r>
    </w:p>
    <w:p w14:paraId="26096385" w14:textId="77777777" w:rsidR="00934A3C" w:rsidRPr="008B4698" w:rsidRDefault="00934A3C" w:rsidP="00934A3C">
      <w:pPr>
        <w:pStyle w:val="NoSpacing"/>
        <w:rPr>
          <w:rFonts w:ascii="Arial" w:hAnsi="Arial" w:cs="Arial"/>
        </w:rPr>
      </w:pPr>
    </w:p>
    <w:p w14:paraId="7A9764EB" w14:textId="3B7EFD89" w:rsidR="00934A3C" w:rsidRPr="008B4698" w:rsidRDefault="00934A3C" w:rsidP="00934A3C">
      <w:pPr>
        <w:pStyle w:val="NoSpacing"/>
        <w:rPr>
          <w:rFonts w:ascii="Arial" w:hAnsi="Arial" w:cs="Arial"/>
        </w:rPr>
      </w:pPr>
      <w:r w:rsidRPr="008B4698">
        <w:rPr>
          <w:rFonts w:ascii="Arial" w:hAnsi="Arial" w:cs="Arial"/>
          <w:b/>
          <w:bCs/>
        </w:rPr>
        <w:t>Inactive Status</w:t>
      </w:r>
      <w:r w:rsidR="007D2004" w:rsidRPr="008B4698">
        <w:rPr>
          <w:rFonts w:ascii="Arial" w:hAnsi="Arial" w:cs="Arial"/>
        </w:rPr>
        <w:t>—</w:t>
      </w:r>
      <w:r w:rsidRPr="008B4698">
        <w:rPr>
          <w:rFonts w:ascii="Arial" w:hAnsi="Arial" w:cs="Arial"/>
        </w:rPr>
        <w:t>An employee on extended leave without pay, including military leave, will be evaluated and</w:t>
      </w:r>
      <w:r w:rsidR="008D2E39" w:rsidRPr="008B4698">
        <w:rPr>
          <w:rFonts w:ascii="Arial" w:hAnsi="Arial" w:cs="Arial"/>
        </w:rPr>
        <w:t xml:space="preserve"> scored </w:t>
      </w:r>
      <w:r w:rsidRPr="008B4698">
        <w:rPr>
          <w:rFonts w:ascii="Arial" w:hAnsi="Arial" w:cs="Arial"/>
        </w:rPr>
        <w:t xml:space="preserve">during the same </w:t>
      </w:r>
      <w:r w:rsidR="008D2E39" w:rsidRPr="008B4698">
        <w:rPr>
          <w:rFonts w:ascii="Arial" w:hAnsi="Arial" w:cs="Arial"/>
        </w:rPr>
        <w:t xml:space="preserve">rating </w:t>
      </w:r>
      <w:r w:rsidRPr="008B4698">
        <w:rPr>
          <w:rFonts w:ascii="Arial" w:hAnsi="Arial" w:cs="Arial"/>
        </w:rPr>
        <w:t>period as other employees.</w:t>
      </w:r>
      <w:r w:rsidR="008D2E39" w:rsidRPr="008B4698">
        <w:rPr>
          <w:rFonts w:ascii="Arial" w:hAnsi="Arial" w:cs="Arial"/>
        </w:rPr>
        <w:t xml:space="preserve"> An employee who is eligible for performance compensation will receive their </w:t>
      </w:r>
      <w:r w:rsidRPr="008B4698">
        <w:rPr>
          <w:rFonts w:ascii="Arial" w:hAnsi="Arial" w:cs="Arial"/>
        </w:rPr>
        <w:t>increase effective when the employee returns to active pay status</w:t>
      </w:r>
      <w:r w:rsidR="008D2E39" w:rsidRPr="008B4698">
        <w:rPr>
          <w:rFonts w:ascii="Arial" w:hAnsi="Arial" w:cs="Arial"/>
        </w:rPr>
        <w:t xml:space="preserve">. The performance compensation </w:t>
      </w:r>
      <w:r w:rsidRPr="008B4698">
        <w:rPr>
          <w:rFonts w:ascii="Arial" w:hAnsi="Arial" w:cs="Arial"/>
        </w:rPr>
        <w:t>will not be applied retroactively.</w:t>
      </w:r>
    </w:p>
    <w:p w14:paraId="651D003A" w14:textId="77777777" w:rsidR="00582040" w:rsidRPr="008B4698" w:rsidRDefault="00582040" w:rsidP="00934A3C">
      <w:pPr>
        <w:pStyle w:val="NoSpacing"/>
        <w:rPr>
          <w:rFonts w:ascii="Arial" w:hAnsi="Arial" w:cs="Arial"/>
          <w:u w:val="single"/>
        </w:rPr>
      </w:pPr>
    </w:p>
    <w:p w14:paraId="28F134CE" w14:textId="65FB4A7E" w:rsidR="00934A3C" w:rsidRPr="001B07CB" w:rsidRDefault="00934A3C" w:rsidP="00934A3C">
      <w:pPr>
        <w:pStyle w:val="NoSpacing"/>
        <w:rPr>
          <w:rFonts w:ascii="Arial" w:hAnsi="Arial" w:cs="Arial"/>
          <w:b/>
          <w:bCs/>
        </w:rPr>
      </w:pPr>
      <w:r w:rsidRPr="008B4698">
        <w:rPr>
          <w:rFonts w:ascii="Arial" w:hAnsi="Arial" w:cs="Arial"/>
          <w:b/>
          <w:bCs/>
        </w:rPr>
        <w:t>Appeal Proces</w:t>
      </w:r>
      <w:r w:rsidR="001B07CB" w:rsidRPr="008B4698">
        <w:rPr>
          <w:rFonts w:ascii="Arial" w:hAnsi="Arial" w:cs="Arial"/>
          <w:b/>
          <w:bCs/>
        </w:rPr>
        <w:t>s</w:t>
      </w:r>
      <w:r w:rsidR="001B07CB" w:rsidRPr="008B4698">
        <w:rPr>
          <w:rFonts w:ascii="Arial" w:hAnsi="Arial" w:cs="Arial"/>
        </w:rPr>
        <w:t>—</w:t>
      </w:r>
      <w:r w:rsidR="00F52363">
        <w:rPr>
          <w:rFonts w:ascii="Arial" w:hAnsi="Arial" w:cs="Arial"/>
        </w:rPr>
        <w:t>Departments are required to establish a process that allows employees</w:t>
      </w:r>
      <w:r w:rsidR="00FE0754">
        <w:rPr>
          <w:rFonts w:ascii="Arial" w:hAnsi="Arial" w:cs="Arial"/>
        </w:rPr>
        <w:t xml:space="preserve"> </w:t>
      </w:r>
      <w:r w:rsidR="00F52363">
        <w:rPr>
          <w:rFonts w:ascii="Arial" w:hAnsi="Arial" w:cs="Arial"/>
        </w:rPr>
        <w:t>an opportunity to appeal their performance evaluation.</w:t>
      </w:r>
      <w:r w:rsidR="00FE0754">
        <w:rPr>
          <w:rFonts w:ascii="Arial" w:hAnsi="Arial" w:cs="Arial"/>
        </w:rPr>
        <w:t xml:space="preserve"> The </w:t>
      </w:r>
      <w:r w:rsidR="007D76AE">
        <w:rPr>
          <w:rFonts w:ascii="Arial" w:hAnsi="Arial" w:cs="Arial"/>
        </w:rPr>
        <w:t xml:space="preserve">written </w:t>
      </w:r>
      <w:r w:rsidR="00FE0754">
        <w:rPr>
          <w:rFonts w:ascii="Arial" w:hAnsi="Arial" w:cs="Arial"/>
        </w:rPr>
        <w:t xml:space="preserve">appeal must be submitted </w:t>
      </w:r>
      <w:r w:rsidR="008773B0">
        <w:rPr>
          <w:rFonts w:ascii="Arial" w:hAnsi="Arial" w:cs="Arial"/>
        </w:rPr>
        <w:t xml:space="preserve">to </w:t>
      </w:r>
      <w:r w:rsidR="00C10369">
        <w:rPr>
          <w:rFonts w:ascii="Arial" w:hAnsi="Arial" w:cs="Arial"/>
        </w:rPr>
        <w:t>the</w:t>
      </w:r>
      <w:r w:rsidR="00B7303B">
        <w:rPr>
          <w:rFonts w:ascii="Arial" w:hAnsi="Arial" w:cs="Arial"/>
        </w:rPr>
        <w:t xml:space="preserve"> evaluating department’s</w:t>
      </w:r>
      <w:r w:rsidR="00C10369">
        <w:rPr>
          <w:rFonts w:ascii="Arial" w:hAnsi="Arial" w:cs="Arial"/>
        </w:rPr>
        <w:t xml:space="preserve"> Performance Review Committee </w:t>
      </w:r>
      <w:r w:rsidR="00FE0754">
        <w:rPr>
          <w:rFonts w:ascii="Arial" w:hAnsi="Arial" w:cs="Arial"/>
        </w:rPr>
        <w:t>no later than three (3) business days after</w:t>
      </w:r>
      <w:r w:rsidR="008773B0">
        <w:rPr>
          <w:rFonts w:ascii="Arial" w:hAnsi="Arial" w:cs="Arial"/>
        </w:rPr>
        <w:t xml:space="preserve"> the</w:t>
      </w:r>
      <w:r w:rsidR="00FE0754">
        <w:rPr>
          <w:rFonts w:ascii="Arial" w:hAnsi="Arial" w:cs="Arial"/>
        </w:rPr>
        <w:t xml:space="preserve"> results are published</w:t>
      </w:r>
      <w:r w:rsidR="008773B0">
        <w:rPr>
          <w:rFonts w:ascii="Arial" w:hAnsi="Arial" w:cs="Arial"/>
        </w:rPr>
        <w:t xml:space="preserve"> on EASE</w:t>
      </w:r>
      <w:r w:rsidR="00FE0754">
        <w:rPr>
          <w:rFonts w:ascii="Arial" w:hAnsi="Arial" w:cs="Arial"/>
        </w:rPr>
        <w:t xml:space="preserve">. </w:t>
      </w:r>
      <w:r w:rsidR="0029358A">
        <w:rPr>
          <w:rFonts w:ascii="Arial" w:hAnsi="Arial" w:cs="Arial"/>
        </w:rPr>
        <w:t>Prior to the rating phase, e</w:t>
      </w:r>
      <w:r w:rsidR="00FE0754">
        <w:rPr>
          <w:rFonts w:ascii="Arial" w:hAnsi="Arial" w:cs="Arial"/>
        </w:rPr>
        <w:t xml:space="preserve">ach department must submit their appeal process to OPM </w:t>
      </w:r>
      <w:r w:rsidR="006C2EBA">
        <w:rPr>
          <w:rFonts w:ascii="Arial" w:hAnsi="Arial" w:cs="Arial"/>
        </w:rPr>
        <w:t>for approval</w:t>
      </w:r>
      <w:r w:rsidR="00FE0754">
        <w:rPr>
          <w:rFonts w:ascii="Arial" w:hAnsi="Arial" w:cs="Arial"/>
        </w:rPr>
        <w:t xml:space="preserve">. </w:t>
      </w:r>
    </w:p>
    <w:p w14:paraId="118567D7" w14:textId="45ED6066" w:rsidR="000A605D" w:rsidRDefault="000A605D" w:rsidP="00934A3C">
      <w:pPr>
        <w:pStyle w:val="NoSpacing"/>
        <w:rPr>
          <w:rFonts w:ascii="Arial" w:hAnsi="Arial" w:cs="Arial"/>
        </w:rPr>
      </w:pPr>
    </w:p>
    <w:p w14:paraId="30A417E5" w14:textId="231C7055" w:rsidR="003D1A8D" w:rsidRDefault="003D1A8D" w:rsidP="00934A3C">
      <w:pPr>
        <w:pStyle w:val="NoSpacing"/>
        <w:rPr>
          <w:rFonts w:ascii="Arial" w:hAnsi="Arial" w:cs="Arial"/>
        </w:rPr>
      </w:pPr>
      <w:r w:rsidRPr="007D76AE">
        <w:rPr>
          <w:rFonts w:ascii="Arial" w:hAnsi="Arial" w:cs="Arial"/>
          <w:b/>
          <w:bCs/>
        </w:rPr>
        <w:t>Performance Improvement Plan (PIP)</w:t>
      </w:r>
      <w:r>
        <w:rPr>
          <w:rFonts w:ascii="Arial" w:hAnsi="Arial" w:cs="Arial"/>
        </w:rPr>
        <w:t>—</w:t>
      </w:r>
      <w:r w:rsidR="007D76AE">
        <w:rPr>
          <w:rFonts w:ascii="Arial" w:hAnsi="Arial" w:cs="Arial"/>
        </w:rPr>
        <w:t>An e</w:t>
      </w:r>
      <w:r>
        <w:rPr>
          <w:rFonts w:ascii="Arial" w:hAnsi="Arial" w:cs="Arial"/>
        </w:rPr>
        <w:t>mployee who receive</w:t>
      </w:r>
      <w:r w:rsidR="007D76AE">
        <w:rPr>
          <w:rFonts w:ascii="Arial" w:hAnsi="Arial" w:cs="Arial"/>
        </w:rPr>
        <w:t>s</w:t>
      </w:r>
      <w:r>
        <w:rPr>
          <w:rFonts w:ascii="Arial" w:hAnsi="Arial" w:cs="Arial"/>
        </w:rPr>
        <w:t xml:space="preserve"> an overall rating of Unsatisfactory or Needs Improvement</w:t>
      </w:r>
      <w:r w:rsidR="00210A05">
        <w:rPr>
          <w:rFonts w:ascii="Arial" w:hAnsi="Arial" w:cs="Arial"/>
        </w:rPr>
        <w:t xml:space="preserve">, and who the department is considering for continued employment, </w:t>
      </w:r>
      <w:r>
        <w:rPr>
          <w:rFonts w:ascii="Arial" w:hAnsi="Arial" w:cs="Arial"/>
        </w:rPr>
        <w:t xml:space="preserve">must be placed on a PIP by their supervisor. The PIP should be for at least 30 days, but no greater than 90 days, and must </w:t>
      </w:r>
      <w:r w:rsidR="00426B88">
        <w:rPr>
          <w:rFonts w:ascii="Arial" w:hAnsi="Arial" w:cs="Arial"/>
        </w:rPr>
        <w:t>identify</w:t>
      </w:r>
      <w:r w:rsidR="008773B0">
        <w:rPr>
          <w:rFonts w:ascii="Arial" w:hAnsi="Arial" w:cs="Arial"/>
        </w:rPr>
        <w:t xml:space="preserve"> </w:t>
      </w:r>
      <w:r>
        <w:rPr>
          <w:rFonts w:ascii="Arial" w:hAnsi="Arial" w:cs="Arial"/>
        </w:rPr>
        <w:t xml:space="preserve">the expected level of performance and ways </w:t>
      </w:r>
      <w:r w:rsidR="008773B0">
        <w:rPr>
          <w:rFonts w:ascii="Arial" w:hAnsi="Arial" w:cs="Arial"/>
        </w:rPr>
        <w:t>for the employee to achieve it.</w:t>
      </w:r>
      <w:r>
        <w:rPr>
          <w:rFonts w:ascii="Arial" w:hAnsi="Arial" w:cs="Arial"/>
        </w:rPr>
        <w:t xml:space="preserve">  </w:t>
      </w:r>
    </w:p>
    <w:p w14:paraId="1BD80B79" w14:textId="4B92CCC7" w:rsidR="00934A3C" w:rsidRPr="00934A3C" w:rsidRDefault="00934A3C" w:rsidP="00550E36">
      <w:pPr>
        <w:pStyle w:val="NoSpacing"/>
        <w:rPr>
          <w:rFonts w:ascii="Arial" w:hAnsi="Arial" w:cs="Arial"/>
        </w:rPr>
      </w:pPr>
    </w:p>
    <w:sectPr w:rsidR="00934A3C" w:rsidRPr="00934A3C" w:rsidSect="005171DB">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9873" w14:textId="77777777" w:rsidR="0069798F" w:rsidRDefault="0069798F" w:rsidP="00517DFC">
      <w:pPr>
        <w:spacing w:after="0" w:line="240" w:lineRule="auto"/>
      </w:pPr>
      <w:r>
        <w:separator/>
      </w:r>
    </w:p>
  </w:endnote>
  <w:endnote w:type="continuationSeparator" w:id="0">
    <w:p w14:paraId="4A3C8CC3" w14:textId="77777777" w:rsidR="0069798F" w:rsidRDefault="0069798F" w:rsidP="0051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440104"/>
      <w:docPartObj>
        <w:docPartGallery w:val="Page Numbers (Bottom of Page)"/>
        <w:docPartUnique/>
      </w:docPartObj>
    </w:sdtPr>
    <w:sdtEndPr>
      <w:rPr>
        <w:color w:val="7F7F7F" w:themeColor="background1" w:themeShade="7F"/>
        <w:spacing w:val="60"/>
      </w:rPr>
    </w:sdtEndPr>
    <w:sdtContent>
      <w:p w14:paraId="2EB386B1" w14:textId="5A28FA7B" w:rsidR="00E67FB4" w:rsidRDefault="008A3FEE" w:rsidP="005171DB">
        <w:pPr>
          <w:pStyle w:val="Footer"/>
          <w:pBdr>
            <w:top w:val="single" w:sz="4" w:space="1" w:color="D9D9D9" w:themeColor="background1" w:themeShade="D9"/>
          </w:pBdr>
          <w:tabs>
            <w:tab w:val="clear" w:pos="9360"/>
            <w:tab w:val="right" w:pos="10800"/>
          </w:tabs>
        </w:pPr>
        <w:r w:rsidRPr="005171DB">
          <w:rPr>
            <w:bCs/>
            <w:szCs w:val="14"/>
          </w:rPr>
          <w:t>Replaces</w:t>
        </w:r>
        <w:r>
          <w:rPr>
            <w:szCs w:val="14"/>
          </w:rPr>
          <w:t>:</w:t>
        </w:r>
        <w:r w:rsidR="00934A3C">
          <w:rPr>
            <w:szCs w:val="14"/>
          </w:rPr>
          <w:t xml:space="preserve"> </w:t>
        </w:r>
        <w:r w:rsidR="00D05113">
          <w:rPr>
            <w:szCs w:val="14"/>
          </w:rPr>
          <w:t xml:space="preserve">12/11/2024; </w:t>
        </w:r>
        <w:r w:rsidR="00DA20BA">
          <w:rPr>
            <w:szCs w:val="14"/>
          </w:rPr>
          <w:t xml:space="preserve">2/20/24; </w:t>
        </w:r>
        <w:r w:rsidR="00EB72BA">
          <w:rPr>
            <w:szCs w:val="14"/>
          </w:rPr>
          <w:t xml:space="preserve">6/22/22; </w:t>
        </w:r>
        <w:r w:rsidR="00BF08CD">
          <w:rPr>
            <w:szCs w:val="14"/>
          </w:rPr>
          <w:t>2/26/21; 8/20/</w:t>
        </w:r>
        <w:r w:rsidR="00934A3C">
          <w:rPr>
            <w:szCs w:val="14"/>
          </w:rPr>
          <w:t>2018</w:t>
        </w:r>
        <w:r>
          <w:tab/>
        </w:r>
        <w:r>
          <w:tab/>
        </w:r>
        <w:r w:rsidR="00E67FB4">
          <w:fldChar w:fldCharType="begin"/>
        </w:r>
        <w:r w:rsidR="00E67FB4">
          <w:instrText xml:space="preserve"> PAGE   \* MERGEFORMAT </w:instrText>
        </w:r>
        <w:r w:rsidR="00E67FB4">
          <w:fldChar w:fldCharType="separate"/>
        </w:r>
        <w:r w:rsidR="00E67FB4">
          <w:rPr>
            <w:noProof/>
          </w:rPr>
          <w:t>2</w:t>
        </w:r>
        <w:r w:rsidR="00E67FB4">
          <w:rPr>
            <w:noProof/>
          </w:rPr>
          <w:fldChar w:fldCharType="end"/>
        </w:r>
        <w:r w:rsidR="00E67FB4">
          <w:t xml:space="preserve"> | </w:t>
        </w:r>
        <w:r w:rsidR="00E67FB4">
          <w:rPr>
            <w:color w:val="7F7F7F" w:themeColor="background1" w:themeShade="7F"/>
            <w:spacing w:val="60"/>
          </w:rPr>
          <w:t>Page</w:t>
        </w:r>
      </w:p>
    </w:sdtContent>
  </w:sdt>
  <w:p w14:paraId="084CF23E" w14:textId="77777777" w:rsidR="00E67FB4" w:rsidRDefault="00E6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83E6" w14:textId="77777777" w:rsidR="0069798F" w:rsidRDefault="0069798F" w:rsidP="00517DFC">
      <w:pPr>
        <w:spacing w:after="0" w:line="240" w:lineRule="auto"/>
      </w:pPr>
      <w:r>
        <w:separator/>
      </w:r>
    </w:p>
  </w:footnote>
  <w:footnote w:type="continuationSeparator" w:id="0">
    <w:p w14:paraId="288B1E40" w14:textId="77777777" w:rsidR="0069798F" w:rsidRDefault="0069798F" w:rsidP="0051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219B" w14:textId="52679FDF" w:rsidR="00517DFC" w:rsidRPr="008A3FEE" w:rsidRDefault="007F40A9" w:rsidP="00550E36">
    <w:pPr>
      <w:pStyle w:val="Header"/>
      <w:tabs>
        <w:tab w:val="clear" w:pos="4680"/>
        <w:tab w:val="center" w:pos="1440"/>
      </w:tabs>
      <w:ind w:left="1440"/>
      <w:rPr>
        <w:noProof/>
        <w:sz w:val="28"/>
        <w:szCs w:val="28"/>
      </w:rPr>
    </w:pPr>
    <w:r w:rsidRPr="007F40A9">
      <w:rPr>
        <w:noProof/>
        <w:sz w:val="28"/>
      </w:rPr>
      <w:drawing>
        <wp:anchor distT="0" distB="0" distL="114300" distR="114300" simplePos="0" relativeHeight="251658240" behindDoc="1" locked="0" layoutInCell="1" allowOverlap="1" wp14:anchorId="4BA4BBED" wp14:editId="4642E649">
          <wp:simplePos x="0" y="0"/>
          <wp:positionH relativeFrom="column">
            <wp:posOffset>-76200</wp:posOffset>
          </wp:positionH>
          <wp:positionV relativeFrom="paragraph">
            <wp:posOffset>-180975</wp:posOffset>
          </wp:positionV>
          <wp:extent cx="866775" cy="85744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578" t="11111" r="10867" b="11111"/>
                  <a:stretch/>
                </pic:blipFill>
                <pic:spPr bwMode="auto">
                  <a:xfrm>
                    <a:off x="0" y="0"/>
                    <a:ext cx="866775" cy="85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7DFC" w:rsidRPr="007F40A9">
      <w:rPr>
        <w:noProof/>
        <w:sz w:val="28"/>
      </w:rPr>
      <w:t>D</w:t>
    </w:r>
    <w:r w:rsidR="00517DFC" w:rsidRPr="008A3FEE">
      <w:rPr>
        <w:noProof/>
        <w:sz w:val="28"/>
        <w:szCs w:val="28"/>
      </w:rPr>
      <w:t xml:space="preserve">epartment of </w:t>
    </w:r>
    <w:r w:rsidRPr="008A3FEE">
      <w:rPr>
        <w:noProof/>
        <w:sz w:val="28"/>
        <w:szCs w:val="28"/>
      </w:rPr>
      <w:t>Transformation and Shared Services</w:t>
    </w:r>
    <w:r w:rsidR="00517DFC" w:rsidRPr="008A3FEE">
      <w:rPr>
        <w:noProof/>
        <w:sz w:val="28"/>
        <w:szCs w:val="28"/>
      </w:rPr>
      <w:t xml:space="preserve"> </w:t>
    </w:r>
  </w:p>
  <w:p w14:paraId="08A629F4" w14:textId="0B42B158" w:rsidR="00517DFC" w:rsidRPr="00DF7033" w:rsidRDefault="00517DFC" w:rsidP="00550E36">
    <w:pPr>
      <w:pStyle w:val="Header"/>
      <w:tabs>
        <w:tab w:val="clear" w:pos="4680"/>
        <w:tab w:val="center" w:pos="1440"/>
      </w:tabs>
      <w:ind w:left="1440"/>
      <w:rPr>
        <w:sz w:val="32"/>
        <w:szCs w:val="32"/>
      </w:rPr>
    </w:pPr>
    <w:r w:rsidRPr="00DF7033">
      <w:rPr>
        <w:sz w:val="32"/>
        <w:szCs w:val="32"/>
      </w:rPr>
      <w:t xml:space="preserve">Office of Personnel </w:t>
    </w:r>
    <w:r w:rsidRPr="00747AFE">
      <w:rPr>
        <w:sz w:val="32"/>
        <w:szCs w:val="32"/>
      </w:rPr>
      <w:t>Management</w:t>
    </w:r>
  </w:p>
  <w:p w14:paraId="69A425AB" w14:textId="77777777" w:rsidR="00517DFC" w:rsidRPr="007F40A9" w:rsidRDefault="00517DFC" w:rsidP="00517DFC">
    <w:pPr>
      <w:pStyle w:val="Header"/>
      <w:jc w:val="center"/>
      <w:rPr>
        <w:sz w:val="32"/>
      </w:rPr>
    </w:pPr>
  </w:p>
  <w:p w14:paraId="308DA9E0" w14:textId="77777777" w:rsidR="007F40A9" w:rsidRDefault="007F40A9" w:rsidP="00517DFC">
    <w:pPr>
      <w:pStyle w:val="Header"/>
      <w:tabs>
        <w:tab w:val="clear" w:pos="9360"/>
        <w:tab w:val="right" w:pos="9180"/>
      </w:tabs>
      <w:rPr>
        <w:sz w:val="24"/>
      </w:rPr>
    </w:pPr>
  </w:p>
  <w:p w14:paraId="1A9BFF0A" w14:textId="2D30D084" w:rsidR="005171DB" w:rsidRDefault="00517DFC" w:rsidP="005171DB">
    <w:pPr>
      <w:pStyle w:val="Header"/>
      <w:tabs>
        <w:tab w:val="clear" w:pos="9360"/>
        <w:tab w:val="right" w:pos="9180"/>
      </w:tabs>
      <w:spacing w:line="360" w:lineRule="auto"/>
      <w:rPr>
        <w:sz w:val="22"/>
        <w:szCs w:val="18"/>
      </w:rPr>
    </w:pPr>
    <w:r w:rsidRPr="008A3FEE">
      <w:rPr>
        <w:b/>
        <w:sz w:val="22"/>
        <w:szCs w:val="18"/>
      </w:rPr>
      <w:t>Policy Title</w:t>
    </w:r>
    <w:r w:rsidRPr="008A3FEE">
      <w:rPr>
        <w:sz w:val="22"/>
        <w:szCs w:val="18"/>
      </w:rPr>
      <w:t>:</w:t>
    </w:r>
    <w:r w:rsidR="00934A3C">
      <w:rPr>
        <w:sz w:val="22"/>
        <w:szCs w:val="18"/>
      </w:rPr>
      <w:t xml:space="preserve"> </w:t>
    </w:r>
    <w:r w:rsidR="000D001F">
      <w:rPr>
        <w:sz w:val="22"/>
        <w:szCs w:val="18"/>
      </w:rPr>
      <w:t>MyARPerformance</w:t>
    </w:r>
    <w:r w:rsidR="0035143F">
      <w:rPr>
        <w:sz w:val="22"/>
        <w:szCs w:val="18"/>
      </w:rPr>
      <w:t>—</w:t>
    </w:r>
    <w:r w:rsidR="001B07CB">
      <w:rPr>
        <w:sz w:val="22"/>
        <w:szCs w:val="18"/>
      </w:rPr>
      <w:t xml:space="preserve">State Employee </w:t>
    </w:r>
    <w:r w:rsidR="000D001F">
      <w:rPr>
        <w:sz w:val="22"/>
        <w:szCs w:val="18"/>
      </w:rPr>
      <w:t xml:space="preserve">Performance Evaluation and </w:t>
    </w:r>
    <w:r w:rsidR="00E06930">
      <w:rPr>
        <w:sz w:val="22"/>
        <w:szCs w:val="18"/>
      </w:rPr>
      <w:t>Compensation</w:t>
    </w:r>
    <w:r w:rsidR="00896C98" w:rsidRPr="008A3FEE">
      <w:rPr>
        <w:sz w:val="22"/>
        <w:szCs w:val="18"/>
      </w:rPr>
      <w:tab/>
    </w:r>
    <w:r w:rsidRPr="008A3FEE">
      <w:rPr>
        <w:sz w:val="22"/>
        <w:szCs w:val="18"/>
      </w:rPr>
      <w:tab/>
    </w:r>
  </w:p>
  <w:p w14:paraId="5945FB85" w14:textId="4FC39F01" w:rsidR="00517DFC" w:rsidRPr="008A3FEE" w:rsidRDefault="00517DFC" w:rsidP="005171DB">
    <w:pPr>
      <w:pStyle w:val="Header"/>
      <w:tabs>
        <w:tab w:val="clear" w:pos="9360"/>
        <w:tab w:val="right" w:pos="9180"/>
      </w:tabs>
      <w:spacing w:line="360" w:lineRule="auto"/>
      <w:rPr>
        <w:b/>
        <w:sz w:val="22"/>
        <w:szCs w:val="18"/>
      </w:rPr>
    </w:pPr>
    <w:r w:rsidRPr="008A3FEE">
      <w:rPr>
        <w:b/>
        <w:sz w:val="22"/>
        <w:szCs w:val="18"/>
      </w:rPr>
      <w:t>Policy Number</w:t>
    </w:r>
    <w:r w:rsidRPr="008A3FEE">
      <w:rPr>
        <w:sz w:val="22"/>
        <w:szCs w:val="18"/>
      </w:rPr>
      <w:t xml:space="preserve">: </w:t>
    </w:r>
    <w:r w:rsidR="00934A3C">
      <w:rPr>
        <w:sz w:val="22"/>
        <w:szCs w:val="18"/>
      </w:rPr>
      <w:t>29</w:t>
    </w:r>
  </w:p>
  <w:p w14:paraId="06561FA1" w14:textId="1FA3569C" w:rsidR="008A3FEE" w:rsidRDefault="00517DFC" w:rsidP="005171DB">
    <w:pPr>
      <w:pStyle w:val="Header"/>
      <w:pBdr>
        <w:bottom w:val="single" w:sz="4" w:space="1" w:color="auto"/>
      </w:pBdr>
      <w:tabs>
        <w:tab w:val="clear" w:pos="9360"/>
        <w:tab w:val="right" w:pos="9180"/>
      </w:tabs>
      <w:spacing w:line="360" w:lineRule="auto"/>
      <w:rPr>
        <w:sz w:val="22"/>
        <w:szCs w:val="18"/>
      </w:rPr>
    </w:pPr>
    <w:r w:rsidRPr="008A3FEE">
      <w:rPr>
        <w:b/>
        <w:sz w:val="22"/>
        <w:szCs w:val="18"/>
      </w:rPr>
      <w:t>Authority</w:t>
    </w:r>
    <w:r w:rsidRPr="008A3FEE">
      <w:rPr>
        <w:sz w:val="22"/>
        <w:szCs w:val="18"/>
      </w:rPr>
      <w:t>:</w:t>
    </w:r>
    <w:r w:rsidR="00E67FB4" w:rsidRPr="008A3FEE">
      <w:rPr>
        <w:sz w:val="22"/>
        <w:szCs w:val="18"/>
      </w:rPr>
      <w:t xml:space="preserve"> Ark. Code Ann. </w:t>
    </w:r>
    <w:r w:rsidR="00104321">
      <w:rPr>
        <w:sz w:val="22"/>
        <w:szCs w:val="18"/>
      </w:rPr>
      <w:t>§</w:t>
    </w:r>
    <w:r w:rsidR="00550E36">
      <w:rPr>
        <w:sz w:val="22"/>
        <w:szCs w:val="18"/>
      </w:rPr>
      <w:t xml:space="preserve"> </w:t>
    </w:r>
    <w:r w:rsidR="00934A3C">
      <w:rPr>
        <w:sz w:val="22"/>
        <w:szCs w:val="18"/>
      </w:rPr>
      <w:t xml:space="preserve">21-5-1001 and </w:t>
    </w:r>
    <w:r w:rsidR="004672A1">
      <w:rPr>
        <w:sz w:val="22"/>
        <w:szCs w:val="18"/>
      </w:rPr>
      <w:t xml:space="preserve">§ </w:t>
    </w:r>
    <w:r w:rsidR="00934A3C">
      <w:rPr>
        <w:sz w:val="22"/>
        <w:szCs w:val="18"/>
      </w:rPr>
      <w:t>21-5-1101</w:t>
    </w:r>
  </w:p>
  <w:p w14:paraId="3DBE3F5E" w14:textId="4FC10D12" w:rsidR="00517DFC" w:rsidRDefault="00104321" w:rsidP="00104321">
    <w:pPr>
      <w:pStyle w:val="Header"/>
      <w:pBdr>
        <w:bottom w:val="single" w:sz="4" w:space="1" w:color="auto"/>
      </w:pBdr>
      <w:tabs>
        <w:tab w:val="clear" w:pos="9360"/>
        <w:tab w:val="right" w:pos="9180"/>
      </w:tabs>
      <w:spacing w:line="360" w:lineRule="auto"/>
    </w:pPr>
    <w:r>
      <w:rPr>
        <w:b/>
        <w:sz w:val="22"/>
        <w:szCs w:val="18"/>
      </w:rPr>
      <w:t>Effective Date</w:t>
    </w:r>
    <w:r w:rsidR="005171DB" w:rsidRPr="008A3FEE">
      <w:rPr>
        <w:sz w:val="22"/>
        <w:szCs w:val="18"/>
      </w:rPr>
      <w:t>:</w:t>
    </w:r>
    <w:r w:rsidR="00550E36">
      <w:rPr>
        <w:sz w:val="22"/>
        <w:szCs w:val="18"/>
      </w:rPr>
      <w:t xml:space="preserve"> </w:t>
    </w:r>
    <w:r w:rsidR="008B4698">
      <w:rPr>
        <w:sz w:val="22"/>
        <w:szCs w:val="18"/>
      </w:rPr>
      <w:t>FY</w:t>
    </w:r>
    <w:r w:rsidR="000D001F">
      <w:rPr>
        <w:sz w:val="22"/>
        <w:szCs w:val="18"/>
      </w:rPr>
      <w:t>202</w:t>
    </w:r>
    <w:r w:rsidR="005E55C3">
      <w:rPr>
        <w:sz w:val="22"/>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B8C"/>
    <w:multiLevelType w:val="hybridMultilevel"/>
    <w:tmpl w:val="779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5BF"/>
    <w:multiLevelType w:val="hybridMultilevel"/>
    <w:tmpl w:val="787E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1032"/>
    <w:multiLevelType w:val="hybridMultilevel"/>
    <w:tmpl w:val="10F6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5C69"/>
    <w:multiLevelType w:val="hybridMultilevel"/>
    <w:tmpl w:val="D3B8B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E2724"/>
    <w:multiLevelType w:val="hybridMultilevel"/>
    <w:tmpl w:val="5E26676E"/>
    <w:lvl w:ilvl="0" w:tplc="5368461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97F1A"/>
    <w:multiLevelType w:val="hybridMultilevel"/>
    <w:tmpl w:val="D03C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B7F3F"/>
    <w:multiLevelType w:val="hybridMultilevel"/>
    <w:tmpl w:val="E680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30073"/>
    <w:multiLevelType w:val="hybridMultilevel"/>
    <w:tmpl w:val="EB90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77153"/>
    <w:multiLevelType w:val="hybridMultilevel"/>
    <w:tmpl w:val="FC468C2C"/>
    <w:lvl w:ilvl="0" w:tplc="A72CD446">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A6DE0"/>
    <w:multiLevelType w:val="hybridMultilevel"/>
    <w:tmpl w:val="FE16219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A0930"/>
    <w:multiLevelType w:val="hybridMultilevel"/>
    <w:tmpl w:val="6CF0D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5F679D"/>
    <w:multiLevelType w:val="hybridMultilevel"/>
    <w:tmpl w:val="B9DE2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C5D46"/>
    <w:multiLevelType w:val="hybridMultilevel"/>
    <w:tmpl w:val="FDB8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294226">
    <w:abstractNumId w:val="11"/>
  </w:num>
  <w:num w:numId="2" w16cid:durableId="1243224974">
    <w:abstractNumId w:val="1"/>
  </w:num>
  <w:num w:numId="3" w16cid:durableId="132794800">
    <w:abstractNumId w:val="5"/>
  </w:num>
  <w:num w:numId="4" w16cid:durableId="269974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913801">
    <w:abstractNumId w:val="2"/>
  </w:num>
  <w:num w:numId="6" w16cid:durableId="1057512624">
    <w:abstractNumId w:val="8"/>
  </w:num>
  <w:num w:numId="7" w16cid:durableId="2146313415">
    <w:abstractNumId w:val="7"/>
  </w:num>
  <w:num w:numId="8" w16cid:durableId="1025642129">
    <w:abstractNumId w:val="9"/>
  </w:num>
  <w:num w:numId="9" w16cid:durableId="273101298">
    <w:abstractNumId w:val="6"/>
  </w:num>
  <w:num w:numId="10" w16cid:durableId="2137942626">
    <w:abstractNumId w:val="3"/>
  </w:num>
  <w:num w:numId="11" w16cid:durableId="2055426265">
    <w:abstractNumId w:val="12"/>
  </w:num>
  <w:num w:numId="12" w16cid:durableId="110976643">
    <w:abstractNumId w:val="4"/>
  </w:num>
  <w:num w:numId="13" w16cid:durableId="73763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FC"/>
    <w:rsid w:val="00006473"/>
    <w:rsid w:val="000242D5"/>
    <w:rsid w:val="00031059"/>
    <w:rsid w:val="0003511C"/>
    <w:rsid w:val="000619EA"/>
    <w:rsid w:val="00065644"/>
    <w:rsid w:val="00076C1D"/>
    <w:rsid w:val="0008196D"/>
    <w:rsid w:val="0008330E"/>
    <w:rsid w:val="000A605D"/>
    <w:rsid w:val="000D001F"/>
    <w:rsid w:val="000F530A"/>
    <w:rsid w:val="00104321"/>
    <w:rsid w:val="00114963"/>
    <w:rsid w:val="00114F0F"/>
    <w:rsid w:val="00134420"/>
    <w:rsid w:val="001849F5"/>
    <w:rsid w:val="00184F50"/>
    <w:rsid w:val="00196938"/>
    <w:rsid w:val="001B07CB"/>
    <w:rsid w:val="001B5A2D"/>
    <w:rsid w:val="001C7992"/>
    <w:rsid w:val="0020102C"/>
    <w:rsid w:val="00205468"/>
    <w:rsid w:val="002058A4"/>
    <w:rsid w:val="00210A05"/>
    <w:rsid w:val="002224DD"/>
    <w:rsid w:val="00240EC3"/>
    <w:rsid w:val="00245B42"/>
    <w:rsid w:val="002606BF"/>
    <w:rsid w:val="00262520"/>
    <w:rsid w:val="00273E55"/>
    <w:rsid w:val="00275A2A"/>
    <w:rsid w:val="002851F0"/>
    <w:rsid w:val="0029358A"/>
    <w:rsid w:val="00295603"/>
    <w:rsid w:val="002978F6"/>
    <w:rsid w:val="002C3F58"/>
    <w:rsid w:val="002D4F0C"/>
    <w:rsid w:val="00303694"/>
    <w:rsid w:val="00303EEF"/>
    <w:rsid w:val="00311702"/>
    <w:rsid w:val="00317363"/>
    <w:rsid w:val="00334035"/>
    <w:rsid w:val="00344D27"/>
    <w:rsid w:val="0035143F"/>
    <w:rsid w:val="0038750E"/>
    <w:rsid w:val="0039669B"/>
    <w:rsid w:val="003C1227"/>
    <w:rsid w:val="003D1A8D"/>
    <w:rsid w:val="00403787"/>
    <w:rsid w:val="00412225"/>
    <w:rsid w:val="00426B88"/>
    <w:rsid w:val="0043612C"/>
    <w:rsid w:val="004672A1"/>
    <w:rsid w:val="004A49AB"/>
    <w:rsid w:val="004B7E46"/>
    <w:rsid w:val="004C2EDB"/>
    <w:rsid w:val="0050513B"/>
    <w:rsid w:val="005171DB"/>
    <w:rsid w:val="00517DFC"/>
    <w:rsid w:val="005217D5"/>
    <w:rsid w:val="00550E36"/>
    <w:rsid w:val="00562D48"/>
    <w:rsid w:val="00574003"/>
    <w:rsid w:val="00581A4B"/>
    <w:rsid w:val="00582040"/>
    <w:rsid w:val="00584681"/>
    <w:rsid w:val="005877D7"/>
    <w:rsid w:val="00592859"/>
    <w:rsid w:val="00595525"/>
    <w:rsid w:val="005B7173"/>
    <w:rsid w:val="005D5CF1"/>
    <w:rsid w:val="005E55C3"/>
    <w:rsid w:val="005E7FB7"/>
    <w:rsid w:val="00610CC3"/>
    <w:rsid w:val="00632A54"/>
    <w:rsid w:val="0069798F"/>
    <w:rsid w:val="006B29F2"/>
    <w:rsid w:val="006B73BA"/>
    <w:rsid w:val="006C06FC"/>
    <w:rsid w:val="006C28EA"/>
    <w:rsid w:val="006C2EBA"/>
    <w:rsid w:val="00704A23"/>
    <w:rsid w:val="007103E9"/>
    <w:rsid w:val="00732296"/>
    <w:rsid w:val="00733AAA"/>
    <w:rsid w:val="00734526"/>
    <w:rsid w:val="00741CF5"/>
    <w:rsid w:val="00747AFE"/>
    <w:rsid w:val="00752279"/>
    <w:rsid w:val="007A166B"/>
    <w:rsid w:val="007A1D24"/>
    <w:rsid w:val="007D2004"/>
    <w:rsid w:val="007D7444"/>
    <w:rsid w:val="007D76AE"/>
    <w:rsid w:val="007E0F4E"/>
    <w:rsid w:val="007F40A9"/>
    <w:rsid w:val="0083206B"/>
    <w:rsid w:val="00834EB1"/>
    <w:rsid w:val="0084363B"/>
    <w:rsid w:val="0084696F"/>
    <w:rsid w:val="0084737E"/>
    <w:rsid w:val="008619F2"/>
    <w:rsid w:val="0086640E"/>
    <w:rsid w:val="008773B0"/>
    <w:rsid w:val="008926A6"/>
    <w:rsid w:val="00892BDE"/>
    <w:rsid w:val="00896C98"/>
    <w:rsid w:val="008A13A9"/>
    <w:rsid w:val="008A3FEE"/>
    <w:rsid w:val="008B4698"/>
    <w:rsid w:val="008D2E39"/>
    <w:rsid w:val="008D385B"/>
    <w:rsid w:val="008F1D79"/>
    <w:rsid w:val="00905CE2"/>
    <w:rsid w:val="00907287"/>
    <w:rsid w:val="00922EC6"/>
    <w:rsid w:val="009242A7"/>
    <w:rsid w:val="00934A3C"/>
    <w:rsid w:val="0096501C"/>
    <w:rsid w:val="00966067"/>
    <w:rsid w:val="009736A7"/>
    <w:rsid w:val="00982E3A"/>
    <w:rsid w:val="0098571C"/>
    <w:rsid w:val="009B6075"/>
    <w:rsid w:val="009C3D28"/>
    <w:rsid w:val="009F06C6"/>
    <w:rsid w:val="00A47408"/>
    <w:rsid w:val="00A66B75"/>
    <w:rsid w:val="00A81FC5"/>
    <w:rsid w:val="00A85856"/>
    <w:rsid w:val="00AB0648"/>
    <w:rsid w:val="00AB6F34"/>
    <w:rsid w:val="00AC173E"/>
    <w:rsid w:val="00B049C0"/>
    <w:rsid w:val="00B1225C"/>
    <w:rsid w:val="00B17D42"/>
    <w:rsid w:val="00B4223E"/>
    <w:rsid w:val="00B53048"/>
    <w:rsid w:val="00B70D3D"/>
    <w:rsid w:val="00B7303B"/>
    <w:rsid w:val="00B92768"/>
    <w:rsid w:val="00BB3A1A"/>
    <w:rsid w:val="00BC197C"/>
    <w:rsid w:val="00BD3434"/>
    <w:rsid w:val="00BD7ADD"/>
    <w:rsid w:val="00BE1C31"/>
    <w:rsid w:val="00BE2506"/>
    <w:rsid w:val="00BE59E3"/>
    <w:rsid w:val="00BF08CD"/>
    <w:rsid w:val="00C00516"/>
    <w:rsid w:val="00C10369"/>
    <w:rsid w:val="00C4620E"/>
    <w:rsid w:val="00C60A39"/>
    <w:rsid w:val="00C618BC"/>
    <w:rsid w:val="00C64A39"/>
    <w:rsid w:val="00C666D7"/>
    <w:rsid w:val="00C73DD1"/>
    <w:rsid w:val="00C77F44"/>
    <w:rsid w:val="00C93A69"/>
    <w:rsid w:val="00CD0C33"/>
    <w:rsid w:val="00CE0090"/>
    <w:rsid w:val="00CF10AB"/>
    <w:rsid w:val="00D05113"/>
    <w:rsid w:val="00D27443"/>
    <w:rsid w:val="00D6141B"/>
    <w:rsid w:val="00D65D2B"/>
    <w:rsid w:val="00D85E42"/>
    <w:rsid w:val="00DA20BA"/>
    <w:rsid w:val="00DC09AB"/>
    <w:rsid w:val="00DF7033"/>
    <w:rsid w:val="00E06930"/>
    <w:rsid w:val="00E11943"/>
    <w:rsid w:val="00E5627E"/>
    <w:rsid w:val="00E67FB4"/>
    <w:rsid w:val="00E856E9"/>
    <w:rsid w:val="00EB72BA"/>
    <w:rsid w:val="00EC54CC"/>
    <w:rsid w:val="00EC6D0E"/>
    <w:rsid w:val="00EE01FB"/>
    <w:rsid w:val="00F52363"/>
    <w:rsid w:val="00F60CD4"/>
    <w:rsid w:val="00F83056"/>
    <w:rsid w:val="00FA6782"/>
    <w:rsid w:val="00FB2C34"/>
    <w:rsid w:val="00FC5F97"/>
    <w:rsid w:val="00FD4AFA"/>
    <w:rsid w:val="00FD6093"/>
    <w:rsid w:val="00FD684B"/>
    <w:rsid w:val="00FE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5453"/>
  <w15:chartTrackingRefBased/>
  <w15:docId w15:val="{80C5EA84-BC29-4958-8251-9B320B7A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58"/>
    <w:pPr>
      <w:spacing w:after="180" w:line="266" w:lineRule="auto"/>
    </w:pPr>
    <w:rPr>
      <w:rFonts w:ascii="Arial" w:eastAsia="Times New Roman" w:hAnsi="Arial" w:cs="Arial"/>
      <w:color w:val="000000"/>
      <w:kern w:val="28"/>
      <w:sz w:val="18"/>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DFC"/>
  </w:style>
  <w:style w:type="paragraph" w:styleId="Footer">
    <w:name w:val="footer"/>
    <w:basedOn w:val="Normal"/>
    <w:link w:val="FooterChar"/>
    <w:uiPriority w:val="99"/>
    <w:unhideWhenUsed/>
    <w:rsid w:val="0051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DFC"/>
  </w:style>
  <w:style w:type="paragraph" w:styleId="NoSpacing">
    <w:name w:val="No Spacing"/>
    <w:uiPriority w:val="1"/>
    <w:qFormat/>
    <w:rsid w:val="00517DFC"/>
    <w:pPr>
      <w:spacing w:after="0" w:line="240" w:lineRule="auto"/>
    </w:pPr>
  </w:style>
  <w:style w:type="character" w:styleId="Hyperlink">
    <w:name w:val="Hyperlink"/>
    <w:basedOn w:val="DefaultParagraphFont"/>
    <w:uiPriority w:val="99"/>
    <w:unhideWhenUsed/>
    <w:rsid w:val="006B29F2"/>
    <w:rPr>
      <w:color w:val="0563C1" w:themeColor="hyperlink"/>
      <w:u w:val="single"/>
    </w:rPr>
  </w:style>
  <w:style w:type="character" w:styleId="UnresolvedMention">
    <w:name w:val="Unresolved Mention"/>
    <w:basedOn w:val="DefaultParagraphFont"/>
    <w:uiPriority w:val="99"/>
    <w:semiHidden/>
    <w:unhideWhenUsed/>
    <w:rsid w:val="005D5CF1"/>
    <w:rPr>
      <w:color w:val="605E5C"/>
      <w:shd w:val="clear" w:color="auto" w:fill="E1DFDD"/>
    </w:rPr>
  </w:style>
  <w:style w:type="paragraph" w:styleId="BalloonText">
    <w:name w:val="Balloon Text"/>
    <w:basedOn w:val="Normal"/>
    <w:link w:val="BalloonTextChar"/>
    <w:uiPriority w:val="99"/>
    <w:semiHidden/>
    <w:unhideWhenUsed/>
    <w:rsid w:val="005D5CF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5CF1"/>
    <w:rPr>
      <w:rFonts w:ascii="Segoe UI" w:eastAsia="Times New Roman" w:hAnsi="Segoe UI" w:cs="Segoe UI"/>
      <w:color w:val="000000"/>
      <w:kern w:val="28"/>
      <w:sz w:val="18"/>
      <w:szCs w:val="18"/>
      <w14:ligatures w14:val="standard"/>
      <w14:cntxtAlts/>
    </w:rPr>
  </w:style>
  <w:style w:type="paragraph" w:styleId="Revision">
    <w:name w:val="Revision"/>
    <w:hidden/>
    <w:uiPriority w:val="99"/>
    <w:semiHidden/>
    <w:rsid w:val="0043612C"/>
    <w:pPr>
      <w:spacing w:after="0" w:line="240" w:lineRule="auto"/>
    </w:pPr>
    <w:rPr>
      <w:rFonts w:ascii="Arial" w:eastAsia="Times New Roman" w:hAnsi="Arial" w:cs="Arial"/>
      <w:color w:val="000000"/>
      <w:kern w:val="28"/>
      <w:sz w:val="18"/>
      <w:szCs w:val="20"/>
      <w14:ligatures w14:val="standard"/>
      <w14:cntxtAlts/>
    </w:rPr>
  </w:style>
  <w:style w:type="character" w:styleId="CommentReference">
    <w:name w:val="annotation reference"/>
    <w:basedOn w:val="DefaultParagraphFont"/>
    <w:uiPriority w:val="99"/>
    <w:semiHidden/>
    <w:unhideWhenUsed/>
    <w:rsid w:val="007103E9"/>
    <w:rPr>
      <w:sz w:val="16"/>
      <w:szCs w:val="16"/>
    </w:rPr>
  </w:style>
  <w:style w:type="paragraph" w:styleId="CommentText">
    <w:name w:val="annotation text"/>
    <w:basedOn w:val="Normal"/>
    <w:link w:val="CommentTextChar"/>
    <w:uiPriority w:val="99"/>
    <w:unhideWhenUsed/>
    <w:rsid w:val="007103E9"/>
    <w:pPr>
      <w:spacing w:line="240" w:lineRule="auto"/>
    </w:pPr>
    <w:rPr>
      <w:sz w:val="20"/>
    </w:rPr>
  </w:style>
  <w:style w:type="character" w:customStyle="1" w:styleId="CommentTextChar">
    <w:name w:val="Comment Text Char"/>
    <w:basedOn w:val="DefaultParagraphFont"/>
    <w:link w:val="CommentText"/>
    <w:uiPriority w:val="99"/>
    <w:rsid w:val="007103E9"/>
    <w:rPr>
      <w:rFonts w:ascii="Arial" w:eastAsia="Times New Roman" w:hAnsi="Arial" w:cs="Arial"/>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103E9"/>
    <w:rPr>
      <w:b/>
      <w:bCs/>
    </w:rPr>
  </w:style>
  <w:style w:type="character" w:customStyle="1" w:styleId="CommentSubjectChar">
    <w:name w:val="Comment Subject Char"/>
    <w:basedOn w:val="CommentTextChar"/>
    <w:link w:val="CommentSubject"/>
    <w:uiPriority w:val="99"/>
    <w:semiHidden/>
    <w:rsid w:val="007103E9"/>
    <w:rPr>
      <w:rFonts w:ascii="Arial" w:eastAsia="Times New Roman" w:hAnsi="Arial" w:cs="Arial"/>
      <w:b/>
      <w:bCs/>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01325">
      <w:bodyDiv w:val="1"/>
      <w:marLeft w:val="0"/>
      <w:marRight w:val="0"/>
      <w:marTop w:val="0"/>
      <w:marBottom w:val="0"/>
      <w:divBdr>
        <w:top w:val="none" w:sz="0" w:space="0" w:color="auto"/>
        <w:left w:val="none" w:sz="0" w:space="0" w:color="auto"/>
        <w:bottom w:val="none" w:sz="0" w:space="0" w:color="auto"/>
        <w:right w:val="none" w:sz="0" w:space="0" w:color="auto"/>
      </w:divBdr>
    </w:div>
    <w:div w:id="485325015">
      <w:bodyDiv w:val="1"/>
      <w:marLeft w:val="0"/>
      <w:marRight w:val="0"/>
      <w:marTop w:val="0"/>
      <w:marBottom w:val="0"/>
      <w:divBdr>
        <w:top w:val="none" w:sz="0" w:space="0" w:color="auto"/>
        <w:left w:val="none" w:sz="0" w:space="0" w:color="auto"/>
        <w:bottom w:val="none" w:sz="0" w:space="0" w:color="auto"/>
        <w:right w:val="none" w:sz="0" w:space="0" w:color="auto"/>
      </w:divBdr>
    </w:div>
    <w:div w:id="503014866">
      <w:bodyDiv w:val="1"/>
      <w:marLeft w:val="0"/>
      <w:marRight w:val="0"/>
      <w:marTop w:val="0"/>
      <w:marBottom w:val="0"/>
      <w:divBdr>
        <w:top w:val="none" w:sz="0" w:space="0" w:color="auto"/>
        <w:left w:val="none" w:sz="0" w:space="0" w:color="auto"/>
        <w:bottom w:val="none" w:sz="0" w:space="0" w:color="auto"/>
        <w:right w:val="none" w:sz="0" w:space="0" w:color="auto"/>
      </w:divBdr>
    </w:div>
    <w:div w:id="867792595">
      <w:bodyDiv w:val="1"/>
      <w:marLeft w:val="0"/>
      <w:marRight w:val="0"/>
      <w:marTop w:val="0"/>
      <w:marBottom w:val="0"/>
      <w:divBdr>
        <w:top w:val="none" w:sz="0" w:space="0" w:color="auto"/>
        <w:left w:val="none" w:sz="0" w:space="0" w:color="auto"/>
        <w:bottom w:val="none" w:sz="0" w:space="0" w:color="auto"/>
        <w:right w:val="none" w:sz="0" w:space="0" w:color="auto"/>
      </w:divBdr>
    </w:div>
    <w:div w:id="1433622154">
      <w:bodyDiv w:val="1"/>
      <w:marLeft w:val="0"/>
      <w:marRight w:val="0"/>
      <w:marTop w:val="0"/>
      <w:marBottom w:val="0"/>
      <w:divBdr>
        <w:top w:val="none" w:sz="0" w:space="0" w:color="auto"/>
        <w:left w:val="none" w:sz="0" w:space="0" w:color="auto"/>
        <w:bottom w:val="none" w:sz="0" w:space="0" w:color="auto"/>
        <w:right w:val="none" w:sz="0" w:space="0" w:color="auto"/>
      </w:divBdr>
    </w:div>
    <w:div w:id="1593081146">
      <w:bodyDiv w:val="1"/>
      <w:marLeft w:val="0"/>
      <w:marRight w:val="0"/>
      <w:marTop w:val="0"/>
      <w:marBottom w:val="0"/>
      <w:divBdr>
        <w:top w:val="none" w:sz="0" w:space="0" w:color="auto"/>
        <w:left w:val="none" w:sz="0" w:space="0" w:color="auto"/>
        <w:bottom w:val="none" w:sz="0" w:space="0" w:color="auto"/>
        <w:right w:val="none" w:sz="0" w:space="0" w:color="auto"/>
      </w:divBdr>
      <w:divsChild>
        <w:div w:id="446434875">
          <w:marLeft w:val="480"/>
          <w:marRight w:val="0"/>
          <w:marTop w:val="0"/>
          <w:marBottom w:val="0"/>
          <w:divBdr>
            <w:top w:val="none" w:sz="0" w:space="0" w:color="auto"/>
            <w:left w:val="none" w:sz="0" w:space="0" w:color="auto"/>
            <w:bottom w:val="none" w:sz="0" w:space="0" w:color="auto"/>
            <w:right w:val="none" w:sz="0" w:space="0" w:color="auto"/>
          </w:divBdr>
        </w:div>
        <w:div w:id="2064332640">
          <w:marLeft w:val="480"/>
          <w:marRight w:val="0"/>
          <w:marTop w:val="0"/>
          <w:marBottom w:val="0"/>
          <w:divBdr>
            <w:top w:val="none" w:sz="0" w:space="0" w:color="auto"/>
            <w:left w:val="none" w:sz="0" w:space="0" w:color="auto"/>
            <w:bottom w:val="none" w:sz="0" w:space="0" w:color="auto"/>
            <w:right w:val="none" w:sz="0" w:space="0" w:color="auto"/>
          </w:divBdr>
        </w:div>
        <w:div w:id="2063282048">
          <w:marLeft w:val="480"/>
          <w:marRight w:val="0"/>
          <w:marTop w:val="0"/>
          <w:marBottom w:val="0"/>
          <w:divBdr>
            <w:top w:val="none" w:sz="0" w:space="0" w:color="auto"/>
            <w:left w:val="none" w:sz="0" w:space="0" w:color="auto"/>
            <w:bottom w:val="none" w:sz="0" w:space="0" w:color="auto"/>
            <w:right w:val="none" w:sz="0" w:space="0" w:color="auto"/>
          </w:divBdr>
        </w:div>
      </w:divsChild>
    </w:div>
    <w:div w:id="16508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orm.ar.gov/wp-content/uploads/FY25-PE-Standard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e.arkansas.gov/sap/bc/ui5_ui5/ui2/ushell/shells/abap/FioriLaunchpad.html?sap-client=100&amp;sap-ushell-config-url=cfg/sap/PersonalizationOff.j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nsform.ar.gov/wp-content/uploads/FY25-PE-Rating-Category-Matri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Elkins</dc:creator>
  <cp:keywords/>
  <dc:description/>
  <cp:lastModifiedBy>Jennifer Elkins</cp:lastModifiedBy>
  <cp:revision>2</cp:revision>
  <cp:lastPrinted>2024-12-18T20:57:00Z</cp:lastPrinted>
  <dcterms:created xsi:type="dcterms:W3CDTF">2024-12-19T22:21:00Z</dcterms:created>
  <dcterms:modified xsi:type="dcterms:W3CDTF">2024-12-19T22:21:00Z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alex.johnston@arkansas.gov</vt:lpwstr>
  </property>
  <property fmtid="{D5CDD505-2E9C-101B-9397-08002B2CF9AE}" pid="5" name="MSIP_Label_30610e7d-c579-4c6c-bcda-3d6fd21c1bb7_SetDate">
    <vt:lpwstr>2019-11-12T20:45:28.0230260Z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bb79ee81-f7b7-4d10-b7bd-f63a4c9d67e8</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ies>
</file>